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Ms Eunice Mijoni, Pending Finalisation of her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Ms Eunice Mijoni</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11-09-1992</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Ms Eunice Mijoni,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her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Ms Eunice Mijoni  is lawfully present in the Republic pending the final determination of her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Ms Eunice Mijoni  has complied with this official procedure by submitting her application via the prescribed online channel and is in possession of confirmation that her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Ms Eunice Mijoni’s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her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She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She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Ms Eunice Mijoni</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Ms Eunice Mijoni has formally expressed her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She  action has triggered the full and immediate protection of the Refugees Act. She is therefore lawfully present in the Republic of South Africa until her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her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her possession a copy of her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Ms Eunice Mijoni’s protected legal status and assist her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