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254D2D" w14:textId="77777777" w:rsidR="005F4025" w:rsidRDefault="005F4025" w:rsidP="00505FB7">
      <w:pPr>
        <w:pStyle w:val="BodyText"/>
        <w:tabs>
          <w:tab w:val="left" w:pos="10206"/>
        </w:tabs>
        <w:spacing w:before="239"/>
        <w:ind w:right="652"/>
        <w:rPr>
          <w:rFonts w:ascii="Times New Roman"/>
        </w:rPr>
      </w:pPr>
    </w:p>
    <w:p w14:paraId="581D7328" w14:textId="551CDBB3" w:rsidR="005F4025" w:rsidRDefault="005F4025" w:rsidP="00505FB7">
      <w:pPr>
        <w:pStyle w:val="BodyText"/>
        <w:tabs>
          <w:tab w:val="left" w:pos="10206"/>
        </w:tabs>
        <w:spacing w:before="239"/>
        <w:ind w:right="652"/>
        <w:rPr>
          <w:b/>
        </w:rPr>
      </w:pPr>
      <w:r>
        <w:rPr>
          <w:b/>
        </w:rPr>
        <w:t xml:space="preserve"> [Todays Date]</w:t>
      </w:r>
    </w:p>
    <w:p w14:paraId="4088003F" w14:textId="77777777" w:rsidR="00B704B0" w:rsidRPr="00B704B0" w:rsidRDefault="00B704B0" w:rsidP="00505FB7">
      <w:pPr>
        <w:pStyle w:val="BodyText"/>
        <w:tabs>
          <w:tab w:val="left" w:pos="10206"/>
        </w:tabs>
        <w:spacing w:before="239"/>
        <w:ind w:right="652"/>
        <w:rPr>
          <w:b/>
        </w:rPr>
      </w:pPr>
      <w:r>
        <w:rPr>
          <w:b/>
        </w:rPr>
        <w:t xml:space="preserve">Law Enforcement </w:t>
      </w:r>
    </w:p>
    <w:p w14:paraId="3C7E45A2" w14:textId="77777777" w:rsidR="00B704B0" w:rsidRPr="00B704B0" w:rsidRDefault="00B704B0" w:rsidP="00505FB7">
      <w:pPr>
        <w:pStyle w:val="BodyText"/>
        <w:tabs>
          <w:tab w:val="left" w:pos="10206"/>
        </w:tabs>
        <w:spacing w:before="239"/>
        <w:ind w:right="652"/>
        <w:rPr>
          <w:b/>
        </w:rPr>
      </w:pPr>
      <w:r>
        <w:rPr>
          <w:b/>
        </w:rPr>
        <w:t>South African Police Service (SAPS)  |  Traffic Police</w:t>
      </w:r>
    </w:p>
    <w:p w14:paraId="53421C09" w14:textId="77777777" w:rsidR="008C76E1" w:rsidRDefault="00B704B0" w:rsidP="00505FB7">
      <w:pPr>
        <w:pStyle w:val="BodyText"/>
        <w:tabs>
          <w:tab w:val="left" w:pos="10206"/>
        </w:tabs>
        <w:spacing w:before="239"/>
        <w:ind w:right="652"/>
        <w:rPr>
          <w:b/>
        </w:rPr>
      </w:pPr>
      <w:r>
        <w:rPr>
          <w:b/>
        </w:rPr>
        <w:t>Immigration Inspectorate  |  Health Services  |  Defence Force</w:t>
      </w:r>
    </w:p>
    <w:p w14:paraId="2A3A6A59" w14:textId="77777777" w:rsidR="00B704B0" w:rsidRDefault="008C76E1" w:rsidP="00505FB7">
      <w:pPr>
        <w:tabs>
          <w:tab w:val="left" w:pos="10206"/>
        </w:tabs>
        <w:spacing w:line="708" w:lineRule="auto"/>
        <w:ind w:left="100" w:right="652"/>
        <w:rPr>
          <w:b/>
          <w:bCs/>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 xml:space="preserve">(SAPS)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0031C5E6" w14:textId="77777777" w:rsidTr="005A087D">
        <w:tc>
          <w:tcPr>
            <w:tcW w:w="9360" w:type="dxa"/>
            <w:tcBorders>
              <w:top w:val="single" w:sz="8" w:space="0" w:color="1B2A4A"/>
              <w:left w:val="single" w:sz="8" w:space="0" w:color="1B2A4A"/>
              <w:bottom w:val="single" w:sz="4" w:space="0" w:color="1B2A4A"/>
              <w:right w:val="single" w:sz="4" w:space="0" w:color="1B2A4A"/>
            </w:tcBorders>
            <w:shd w:val="clear" w:color="auto" w:fill="F5F7FA"/>
            <w:tcMar>
              <w:top w:w="120" w:type="dxa"/>
              <w:left w:w="200" w:type="dxa"/>
              <w:bottom w:w="120" w:type="dxa"/>
              <w:right w:w="200" w:type="dxa"/>
            </w:tcMar>
          </w:tcPr>
          <w:p w14:paraId="1E0EB372" w14:textId="64B38E67" w:rsidR="00B704B0" w:rsidRDefault="00B704B0" w:rsidP="00505FB7">
            <w:pPr>
              <w:tabs>
                <w:tab w:val="left" w:pos="10206"/>
              </w:tabs>
              <w:spacing w:after="80"/>
              <w:ind w:right="652"/>
            </w:pPr>
            <w:r>
              <w:rPr>
                <w:b/>
                <w:bCs/>
                <w:color w:val="1B2A4A"/>
              </w:rPr>
              <w:t xml:space="preserve">Re:  Definitive Legal Status and Absolute Protection of an Asylum Seeker, </w:t>
            </w:r>
            <w:r w:rsidR="001D0FA7">
              <w:rPr>
                <w:b/>
                <w:bCs/>
                <w:color w:val="EE0000"/>
              </w:rPr>
              <w:t>[title] [full names]</w:t>
            </w:r>
            <w:r>
              <w:rPr>
                <w:b/>
                <w:bCs/>
                <w:color w:val="1B2A4A"/>
              </w:rPr>
              <w:t xml:space="preserve">, Pending </w:t>
            </w:r>
            <w:proofErr w:type="spellStart"/>
            <w:r>
              <w:rPr>
                <w:b/>
                <w:bCs/>
                <w:color w:val="1B2A4A"/>
              </w:rPr>
              <w:t>Finalisation</w:t>
            </w:r>
            <w:proofErr w:type="spellEnd"/>
            <w:r>
              <w:rPr>
                <w:b/>
                <w:bCs/>
                <w:color w:val="1B2A4A"/>
              </w:rPr>
              <w:t xml:space="preserve"> of Application for Asylum</w:t>
            </w:r>
          </w:p>
          <w:p w14:paraId="3506F175" w14:textId="3F9298A2" w:rsidR="00B704B0" w:rsidRDefault="00B704B0" w:rsidP="00505FB7">
            <w:pPr>
              <w:tabs>
                <w:tab w:val="left" w:pos="10206"/>
              </w:tabs>
              <w:spacing w:after="60"/>
              <w:ind w:right="652"/>
            </w:pPr>
            <w:r>
              <w:rPr>
                <w:b/>
                <w:bCs/>
                <w:sz w:val="21"/>
                <w:szCs w:val="21"/>
              </w:rPr>
              <w:t xml:space="preserve">Applicant:  </w:t>
            </w:r>
            <w:r w:rsidR="001D0FA7">
              <w:rPr>
                <w:b/>
                <w:bCs/>
                <w:color w:val="EE0000"/>
                <w:sz w:val="21"/>
                <w:szCs w:val="21"/>
              </w:rPr>
              <w:t>[title] [full names]</w:t>
            </w:r>
          </w:p>
          <w:p w14:paraId="6669F58F" w14:textId="60BC5AA3" w:rsidR="00B704B0" w:rsidRDefault="00B704B0" w:rsidP="00505FB7">
            <w:pPr>
              <w:tabs>
                <w:tab w:val="left" w:pos="10206"/>
              </w:tabs>
              <w:spacing w:after="60"/>
              <w:ind w:right="652"/>
            </w:pPr>
            <w:r>
              <w:rPr>
                <w:b/>
                <w:bCs/>
                <w:sz w:val="21"/>
                <w:szCs w:val="21"/>
              </w:rPr>
              <w:t xml:space="preserve">Date of Birth:  </w:t>
            </w:r>
            <w:r w:rsidR="001D0FA7">
              <w:rPr>
                <w:b/>
                <w:bCs/>
                <w:color w:val="EE0000"/>
                <w:sz w:val="21"/>
                <w:szCs w:val="21"/>
              </w:rPr>
              <w:t>[DOB]</w:t>
            </w:r>
          </w:p>
          <w:p w14:paraId="09FE69E9" w14:textId="678C87A6" w:rsidR="00B704B0" w:rsidRDefault="00B704B0" w:rsidP="00505FB7">
            <w:pPr>
              <w:tabs>
                <w:tab w:val="left" w:pos="10206"/>
              </w:tabs>
              <w:ind w:right="652"/>
            </w:pPr>
            <w:r>
              <w:rPr>
                <w:b/>
                <w:bCs/>
                <w:sz w:val="21"/>
                <w:szCs w:val="21"/>
              </w:rPr>
              <w:t xml:space="preserve">Nationality:  </w:t>
            </w:r>
            <w:r w:rsidR="001D0FA7">
              <w:rPr>
                <w:b/>
                <w:bCs/>
                <w:color w:val="EE0000"/>
                <w:sz w:val="21"/>
                <w:szCs w:val="21"/>
              </w:rPr>
              <w:t>[Nationality]</w:t>
            </w:r>
          </w:p>
        </w:tc>
      </w:tr>
    </w:tbl>
    <w:p w14:paraId="1081A927" w14:textId="77777777" w:rsidR="00B704B0" w:rsidRDefault="00B704B0" w:rsidP="00505FB7">
      <w:pPr>
        <w:tabs>
          <w:tab w:val="left" w:pos="10206"/>
        </w:tabs>
        <w:spacing w:after="120"/>
        <w:ind w:right="652"/>
      </w:pPr>
      <w:r>
        <w:t>Dear Sir / Madam,</w:t>
      </w:r>
    </w:p>
    <w:p w14:paraId="5942F12B" w14:textId="77777777" w:rsidR="00B704B0" w:rsidRDefault="00B704B0" w:rsidP="00505FB7">
      <w:pPr>
        <w:tabs>
          <w:tab w:val="left" w:pos="10206"/>
        </w:tabs>
        <w:spacing w:before="280" w:after="120"/>
        <w:ind w:right="652"/>
      </w:pPr>
      <w:r>
        <w:rPr>
          <w:b/>
          <w:bCs/>
          <w:color w:val="1B2A4A"/>
          <w:sz w:val="24"/>
          <w:szCs w:val="24"/>
          <w:u w:val="single"/>
        </w:rPr>
        <w:t>1.  INTRODUCTION</w:t>
      </w:r>
    </w:p>
    <w:p w14:paraId="782AE913" w14:textId="05A43C43" w:rsidR="00B704B0" w:rsidRDefault="00B704B0" w:rsidP="00505FB7">
      <w:pPr>
        <w:tabs>
          <w:tab w:val="left" w:pos="10206"/>
        </w:tabs>
        <w:spacing w:after="140"/>
        <w:ind w:right="652"/>
      </w:pPr>
      <w:r>
        <w:t>This letter serves to confirm the legal status of the above-named individual</w:t>
      </w:r>
      <w:r w:rsidRPr="00AA37FF">
        <w:rPr>
          <w:color w:val="EE0000"/>
        </w:rPr>
        <w:t xml:space="preserve">, </w:t>
      </w:r>
      <w:r w:rsidR="001D0FA7">
        <w:rPr>
          <w:color w:val="EE0000"/>
        </w:rPr>
        <w:t>[title] [full names]</w:t>
      </w:r>
      <w:r>
        <w:t>, who has formally applied for asylum in the Republic of South Africa. Its purpose is to provide law enforcement and other state officials with a definitive and detailed statement of their rights and protections under the Constitution, the Refugees Act 130 of 1998, and a substantial, cohesive body of binding judicial precedent from the Constitutional Court, Supreme Court of Appeal, and High Court.</w:t>
      </w:r>
    </w:p>
    <w:p w14:paraId="213C63E2" w14:textId="45DB5BAA" w:rsidR="00B704B0" w:rsidRDefault="001D0FA7" w:rsidP="00505FB7">
      <w:pPr>
        <w:tabs>
          <w:tab w:val="left" w:pos="10206"/>
        </w:tabs>
        <w:spacing w:after="140"/>
        <w:ind w:right="652"/>
      </w:pPr>
      <w:r>
        <w:t>[title] [full names]</w:t>
      </w:r>
      <w:r w:rsidR="00B704B0">
        <w:t xml:space="preserve"> is lawfully present in the Republic pending the final determination of their asylum application. Any attempt to arrest, detain, or deport them would constitute a direct violation of established statutory law and explicit court orders.</w:t>
      </w:r>
    </w:p>
    <w:p w14:paraId="24D090D2" w14:textId="77777777" w:rsidR="00B704B0" w:rsidRDefault="00B704B0" w:rsidP="00505FB7">
      <w:pPr>
        <w:tabs>
          <w:tab w:val="left" w:pos="10206"/>
        </w:tabs>
        <w:spacing w:before="280" w:after="120"/>
        <w:ind w:right="652"/>
      </w:pPr>
      <w:r>
        <w:rPr>
          <w:b/>
          <w:bCs/>
          <w:color w:val="1B2A4A"/>
          <w:sz w:val="24"/>
          <w:szCs w:val="24"/>
          <w:u w:val="single"/>
        </w:rPr>
        <w:t>2.  LANDMARK CONSTITUTIONAL COURT JUDGMENT — 7 JULY 2026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7E437FE3" w14:textId="77777777" w:rsidTr="005A087D">
        <w:tc>
          <w:tcPr>
            <w:tcW w:w="9360" w:type="dxa"/>
            <w:tcBorders>
              <w:top w:val="single" w:sz="8" w:space="0" w:color="1A6B3A"/>
              <w:left w:val="single" w:sz="24" w:space="0" w:color="1A6B3A"/>
              <w:bottom w:val="single" w:sz="4" w:space="0" w:color="1A6B3A"/>
              <w:right w:val="single" w:sz="4" w:space="0" w:color="D0D0D0"/>
            </w:tcBorders>
            <w:shd w:val="clear" w:color="auto" w:fill="F0FFF4"/>
            <w:tcMar>
              <w:top w:w="140" w:type="dxa"/>
              <w:left w:w="200" w:type="dxa"/>
              <w:bottom w:w="140" w:type="dxa"/>
              <w:right w:w="200" w:type="dxa"/>
            </w:tcMar>
          </w:tcPr>
          <w:p w14:paraId="70509936" w14:textId="77777777" w:rsidR="00B704B0" w:rsidRDefault="00B704B0" w:rsidP="00505FB7">
            <w:pPr>
              <w:tabs>
                <w:tab w:val="left" w:pos="10206"/>
              </w:tabs>
              <w:spacing w:after="80"/>
              <w:ind w:right="652"/>
            </w:pPr>
            <w:r>
              <w:rPr>
                <w:b/>
                <w:bCs/>
                <w:color w:val="1A6B3A"/>
              </w:rPr>
              <w:t>⚖️  Scalabrini Centre of Cape Town and Another v Minister of Home Affairs and Others [2026] ZACC 30 — Case CCT 126/25</w:t>
            </w:r>
          </w:p>
          <w:p w14:paraId="5F128D0C" w14:textId="77777777" w:rsidR="00B704B0" w:rsidRDefault="00B704B0" w:rsidP="00505FB7">
            <w:pPr>
              <w:tabs>
                <w:tab w:val="left" w:pos="10206"/>
              </w:tabs>
              <w:spacing w:after="80"/>
              <w:ind w:right="652"/>
            </w:pPr>
            <w:r>
              <w:rPr>
                <w:color w:val="1A1A1A"/>
                <w:sz w:val="21"/>
                <w:szCs w:val="21"/>
              </w:rPr>
              <w:t>JUDGMENT DATE: 7 July 2026  —  UNANIMOUS (8:0) —  Justice Majiedt (writing for the Court)</w:t>
            </w:r>
          </w:p>
          <w:p w14:paraId="65B9FCDE" w14:textId="77777777" w:rsidR="00B704B0" w:rsidRDefault="00B704B0" w:rsidP="00505FB7">
            <w:pPr>
              <w:tabs>
                <w:tab w:val="left" w:pos="10206"/>
              </w:tabs>
              <w:spacing w:after="80"/>
              <w:ind w:right="652"/>
            </w:pPr>
            <w:r>
              <w:rPr>
                <w:color w:val="1A1A1A"/>
                <w:sz w:val="21"/>
                <w:szCs w:val="21"/>
              </w:rPr>
              <w:t>This is the most significant asylum judgment in South Africa’s recent history. It fundamentally changes the rights of every person seeking asylum in South Africa.</w:t>
            </w:r>
          </w:p>
          <w:p w14:paraId="2B26C5FD" w14:textId="77777777" w:rsidR="00B704B0" w:rsidRDefault="00B704B0" w:rsidP="00505FB7">
            <w:pPr>
              <w:tabs>
                <w:tab w:val="left" w:pos="10206"/>
              </w:tabs>
              <w:spacing w:after="80"/>
              <w:ind w:right="652"/>
            </w:pPr>
            <w:r>
              <w:rPr>
                <w:color w:val="1A1A1A"/>
                <w:sz w:val="21"/>
                <w:szCs w:val="21"/>
              </w:rPr>
              <w:t>The Constitutional Court has confirmed the Western Cape High Court’s declaration that four provisions of the Refugees Act 130 of 1998 are UNCONSTITUTIONAL and INVALID with immediate effect.</w:t>
            </w:r>
          </w:p>
          <w:p w14:paraId="09863FA0" w14:textId="77777777" w:rsidR="00B704B0" w:rsidRDefault="00B704B0" w:rsidP="00505FB7">
            <w:pPr>
              <w:tabs>
                <w:tab w:val="left" w:pos="10206"/>
              </w:tabs>
              <w:spacing w:after="80"/>
              <w:ind w:right="652"/>
            </w:pPr>
            <w:r>
              <w:rPr>
                <w:color w:val="1A1A1A"/>
                <w:sz w:val="21"/>
                <w:szCs w:val="21"/>
              </w:rPr>
              <w:t>NO SUSPENSION of the invalidity was granted. These provisions are invalid NOW — from 7 July 2026.</w:t>
            </w:r>
          </w:p>
        </w:tc>
      </w:tr>
    </w:tbl>
    <w:p w14:paraId="7E8E3274" w14:textId="77777777" w:rsidR="00B704B0" w:rsidRDefault="00B704B0" w:rsidP="00505FB7">
      <w:pPr>
        <w:tabs>
          <w:tab w:val="left" w:pos="10206"/>
        </w:tabs>
        <w:spacing w:after="160"/>
        <w:ind w:right="652"/>
      </w:pPr>
    </w:p>
    <w:p w14:paraId="30328A3F" w14:textId="77777777" w:rsidR="001C7800" w:rsidRDefault="001C7800" w:rsidP="00505FB7">
      <w:pPr>
        <w:tabs>
          <w:tab w:val="left" w:pos="10206"/>
        </w:tabs>
        <w:spacing w:before="200" w:after="100"/>
        <w:ind w:right="652"/>
        <w:rPr>
          <w:b/>
          <w:bCs/>
          <w:color w:val="1B2A4A"/>
        </w:rPr>
      </w:pPr>
    </w:p>
    <w:p w14:paraId="1DEE6157" w14:textId="77777777" w:rsidR="00B704B0" w:rsidRDefault="00B704B0" w:rsidP="00505FB7">
      <w:pPr>
        <w:tabs>
          <w:tab w:val="left" w:pos="10206"/>
        </w:tabs>
        <w:spacing w:before="200" w:after="100"/>
        <w:ind w:right="652"/>
      </w:pPr>
      <w:r>
        <w:rPr>
          <w:b/>
          <w:bCs/>
          <w:color w:val="1B2A4A"/>
        </w:rPr>
        <w:t>2.1  What the Court Struck Down</w:t>
      </w:r>
    </w:p>
    <w:p w14:paraId="5D1900E6" w14:textId="77777777" w:rsidR="00B704B0" w:rsidRDefault="00B704B0" w:rsidP="00505FB7">
      <w:pPr>
        <w:tabs>
          <w:tab w:val="left" w:pos="10206"/>
        </w:tabs>
        <w:spacing w:after="140"/>
        <w:ind w:right="652"/>
      </w:pPr>
      <w:r>
        <w:t>The following provisions of the Refugees Act 130 of 1998 are now constitutionally invalid and have no legal force:</w:t>
      </w:r>
    </w:p>
    <w:p w14:paraId="23445D89"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Section 4(1)(f): The provision that allowed an asylum seeker to be excluded from refugee status if the RSDO had reason to believe they had committed an offence relating to fraudulent immigration documents. STRUCK DOWN.</w:t>
      </w:r>
    </w:p>
    <w:p w14:paraId="10C50C6A"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Section 4(1)(h): The provision that allowed an asylum seeker to be excluded from refugee status if they had entered South Africa through an unofficial border crossing, unless they could show ‘compelling reasons’. STRUCK DOWN.</w:t>
      </w:r>
    </w:p>
    <w:p w14:paraId="727A0876"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Section 4(1)(i): The provision that allowed an asylum seeker to be excluded from refugee status if they had failed to report to a Refugee Reception Office (RRO) within five days of entry, unless they could show ‘compelling reasons’. STRUCK DOWN.</w:t>
      </w:r>
    </w:p>
    <w:p w14:paraId="4EA37B6C"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Section 21(1B): The provision that required a person not in possession of an asylum transit visa (Form 23) to be interviewed by an immigration officer to establish ‘valid reasons’ for not having the visa before being permitted to apply for asylum. STRUCK DOWN.</w:t>
      </w:r>
    </w:p>
    <w:p w14:paraId="70C2AF14" w14:textId="77777777" w:rsidR="00B704B0" w:rsidRDefault="00B704B0" w:rsidP="00505FB7">
      <w:pPr>
        <w:tabs>
          <w:tab w:val="left" w:pos="10206"/>
        </w:tabs>
        <w:spacing w:after="80"/>
        <w:ind w:right="652"/>
      </w:pPr>
    </w:p>
    <w:p w14:paraId="77C39217" w14:textId="77777777" w:rsidR="00B704B0" w:rsidRDefault="00B704B0" w:rsidP="00505FB7">
      <w:pPr>
        <w:tabs>
          <w:tab w:val="left" w:pos="10206"/>
        </w:tabs>
        <w:spacing w:after="140"/>
        <w:ind w:right="652"/>
      </w:pPr>
      <w:r>
        <w:t>Additionally, Regulations 8(1)(c)(i), 8(2), 8(3) and 8(4) of the Refugee Regulations 2018 — which required a transit visa, demanded production of documents as a condition of applying, and required applicants to show ‘good cause’ for illegal entry — were declared unconstitutional by the Western Cape High Court in May 2025. The government failed to properly appeal these regulations. They are therefore also invalid and have no legal force.</w:t>
      </w:r>
    </w:p>
    <w:p w14:paraId="24C87810" w14:textId="77777777" w:rsidR="00B704B0" w:rsidRDefault="00B704B0" w:rsidP="00505FB7">
      <w:pPr>
        <w:tabs>
          <w:tab w:val="left" w:pos="10206"/>
        </w:tabs>
        <w:spacing w:before="200" w:after="100"/>
        <w:ind w:right="652"/>
      </w:pPr>
      <w:r>
        <w:rPr>
          <w:b/>
          <w:bCs/>
          <w:color w:val="1B2A4A"/>
        </w:rPr>
        <w:t>2.2  Why the Court Struck These Provisions Down</w:t>
      </w:r>
    </w:p>
    <w:p w14:paraId="39B2D375" w14:textId="77777777" w:rsidR="00B704B0" w:rsidRDefault="00B704B0" w:rsidP="00505FB7">
      <w:pPr>
        <w:tabs>
          <w:tab w:val="left" w:pos="10206"/>
        </w:tabs>
        <w:spacing w:after="140"/>
        <w:ind w:right="652"/>
      </w:pPr>
      <w:r>
        <w:t>The Court found that these provisions created what it called a ‘disbarment regime’ — a system that permanently shut people out of the asylum process before anyone had assessed whether they had a genuine need for protection. The Court’s core reasoning:</w:t>
      </w:r>
    </w:p>
    <w:p w14:paraId="1C66FA96"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Procedural non-compliance — entering illegally, lacking a transit visa, crossing at an unofficial border point, being late in reporting — cannot justify exclusion from the asylum system without a merits-based assessment of the claim.</w:t>
      </w:r>
    </w:p>
    <w:p w14:paraId="35A8001E"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The provisions violated the principle of non-refoulement (the absolute prohibition on returning a person to a country where they face persecution, torture or death) because they allowed deportation without any merits assessment.</w:t>
      </w:r>
    </w:p>
    <w:p w14:paraId="09195E83"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The provisions conferred unguided, unconstrained and arbitrary discretion on immigration officers with no legal standards, definitions, or criteria — making them constitutionally irrational and void for vagueness.</w:t>
      </w:r>
    </w:p>
    <w:p w14:paraId="2D4B7260"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The provisions created multiple contradictory standards (‘valid reasons’, ‘good cause’, ‘compelling reasons’) applying to the same conduct, before different officials, with none defined — creating a real risk of inconsistent and arbitrary decision-making.</w:t>
      </w:r>
    </w:p>
    <w:p w14:paraId="426F9BD9"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The provisions caused severe harm to children, whose asylum claims were automatically denied if a parent failed a procedural requirement, without any individual assessment of the child’s own circumstances.</w:t>
      </w:r>
    </w:p>
    <w:p w14:paraId="4EBABEE7" w14:textId="77777777" w:rsidR="00B704B0" w:rsidRDefault="00B704B0" w:rsidP="00505FB7">
      <w:pPr>
        <w:tabs>
          <w:tab w:val="left" w:pos="10206"/>
        </w:tabs>
        <w:spacing w:after="80"/>
        <w:ind w:right="652"/>
      </w:pPr>
    </w:p>
    <w:p w14:paraId="6D3A9369" w14:textId="77777777" w:rsidR="001C7800" w:rsidRDefault="001C7800" w:rsidP="00505FB7">
      <w:pPr>
        <w:tabs>
          <w:tab w:val="left" w:pos="10206"/>
        </w:tabs>
        <w:spacing w:after="80"/>
        <w:ind w:right="65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22A0AAF0"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7B3607C5" w14:textId="77777777" w:rsidR="00B704B0" w:rsidRDefault="00B704B0" w:rsidP="00505FB7">
            <w:pPr>
              <w:tabs>
                <w:tab w:val="left" w:pos="10206"/>
              </w:tabs>
              <w:spacing w:after="60"/>
              <w:ind w:right="652"/>
            </w:pPr>
            <w:r>
              <w:rPr>
                <w:b/>
                <w:bCs/>
                <w:color w:val="1B2A4A"/>
                <w:sz w:val="20"/>
                <w:szCs w:val="20"/>
              </w:rPr>
              <w:t>Majiedt J, Scalabrini v Minister of Home Affairs [2026] ZACC 30, paragraph 102</w:t>
            </w:r>
          </w:p>
          <w:p w14:paraId="62D50EAB" w14:textId="77777777" w:rsidR="00B704B0" w:rsidRDefault="00B704B0" w:rsidP="00505FB7">
            <w:pPr>
              <w:tabs>
                <w:tab w:val="left" w:pos="10206"/>
              </w:tabs>
              <w:ind w:right="652"/>
            </w:pPr>
            <w:r>
              <w:rPr>
                <w:i/>
                <w:iCs/>
                <w:color w:val="595959"/>
                <w:sz w:val="20"/>
                <w:szCs w:val="20"/>
              </w:rPr>
              <w:t>"It subjects vulnerable asylum seekers to yet another bureaucratic step in the process to allow them to apply for refugee status, with no clear parameters for the officials applying it, and, further, no consequence once they have done so. This is an arbitrary exercise of state power."</w:t>
            </w:r>
          </w:p>
        </w:tc>
      </w:tr>
    </w:tbl>
    <w:p w14:paraId="08CA737C" w14:textId="77777777" w:rsidR="00B704B0" w:rsidRDefault="00B704B0" w:rsidP="00505FB7">
      <w:pPr>
        <w:tabs>
          <w:tab w:val="left" w:pos="10206"/>
        </w:tabs>
        <w:spacing w:after="140"/>
        <w:ind w:right="652"/>
      </w:pPr>
    </w:p>
    <w:p w14:paraId="59BD1BA9" w14:textId="5A3588F5" w:rsidR="00B704B0" w:rsidRDefault="00B704B0" w:rsidP="00505FB7">
      <w:pPr>
        <w:tabs>
          <w:tab w:val="left" w:pos="10206"/>
        </w:tabs>
        <w:spacing w:before="200" w:after="100"/>
        <w:ind w:right="652"/>
      </w:pPr>
      <w:proofErr w:type="gramStart"/>
      <w:r>
        <w:rPr>
          <w:b/>
          <w:bCs/>
          <w:color w:val="1B2A4A"/>
        </w:rPr>
        <w:t>2.3  The</w:t>
      </w:r>
      <w:proofErr w:type="gramEnd"/>
      <w:r>
        <w:rPr>
          <w:b/>
          <w:bCs/>
          <w:color w:val="1B2A4A"/>
        </w:rPr>
        <w:t xml:space="preserve"> Direct Effect on </w:t>
      </w:r>
      <w:r w:rsidR="001D0FA7">
        <w:rPr>
          <w:b/>
          <w:bCs/>
          <w:color w:val="1B2A4A"/>
        </w:rPr>
        <w:t>[title] [full names]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47A8E539" w14:textId="77777777" w:rsidTr="005A087D">
        <w:tc>
          <w:tcPr>
            <w:tcW w:w="9360" w:type="dxa"/>
            <w:tcBorders>
              <w:top w:val="single" w:sz="8" w:space="0" w:color="1A6B3A"/>
              <w:left w:val="single" w:sz="24" w:space="0" w:color="1A6B3A"/>
              <w:bottom w:val="single" w:sz="4" w:space="0" w:color="1A6B3A"/>
              <w:right w:val="single" w:sz="4" w:space="0" w:color="D0D0D0"/>
            </w:tcBorders>
            <w:shd w:val="clear" w:color="auto" w:fill="F0FFF4"/>
            <w:tcMar>
              <w:top w:w="140" w:type="dxa"/>
              <w:left w:w="200" w:type="dxa"/>
              <w:bottom w:w="140" w:type="dxa"/>
              <w:right w:w="200" w:type="dxa"/>
            </w:tcMar>
          </w:tcPr>
          <w:p w14:paraId="46DB0467" w14:textId="77777777" w:rsidR="00B704B0" w:rsidRDefault="00B704B0" w:rsidP="00505FB7">
            <w:pPr>
              <w:tabs>
                <w:tab w:val="left" w:pos="10206"/>
              </w:tabs>
              <w:spacing w:after="80"/>
              <w:ind w:right="652"/>
            </w:pPr>
            <w:r>
              <w:rPr>
                <w:b/>
                <w:bCs/>
                <w:color w:val="1A6B3A"/>
              </w:rPr>
              <w:t>✅  What This Means for This Applicant</w:t>
            </w:r>
          </w:p>
          <w:p w14:paraId="5B44AD5F" w14:textId="2B992A23" w:rsidR="00B704B0" w:rsidRDefault="001D0FA7" w:rsidP="00505FB7">
            <w:pPr>
              <w:tabs>
                <w:tab w:val="left" w:pos="10206"/>
              </w:tabs>
              <w:spacing w:after="80"/>
              <w:ind w:right="652"/>
            </w:pPr>
            <w:r>
              <w:rPr>
                <w:color w:val="1A1A1A"/>
                <w:sz w:val="21"/>
                <w:szCs w:val="21"/>
              </w:rPr>
              <w:t>[title] [full names]</w:t>
            </w:r>
            <w:r w:rsidR="00B704B0">
              <w:rPr>
                <w:color w:val="1A1A1A"/>
                <w:sz w:val="21"/>
                <w:szCs w:val="21"/>
              </w:rPr>
              <w:t xml:space="preserve"> cannot be turned away from the asylum system on account of: how they entered South Africa; whether they hold a Form 23 transit visa; how long they have been in South Africa before applying; whether they reported to an RRO within five days.</w:t>
            </w:r>
          </w:p>
          <w:p w14:paraId="74BBFA10" w14:textId="77777777" w:rsidR="00B704B0" w:rsidRDefault="00B704B0" w:rsidP="00505FB7">
            <w:pPr>
              <w:tabs>
                <w:tab w:val="left" w:pos="10206"/>
              </w:tabs>
              <w:spacing w:after="80"/>
              <w:ind w:right="652"/>
            </w:pPr>
            <w:r>
              <w:rPr>
                <w:color w:val="1A1A1A"/>
                <w:sz w:val="21"/>
                <w:szCs w:val="21"/>
              </w:rPr>
              <w:t>Any official who attempts to apply the transit visa interview process (section 21(1B)) is applying a provision that has been declared UNCONSTITUTIONAL by the highest court in South Africa.</w:t>
            </w:r>
          </w:p>
          <w:p w14:paraId="6A752EDF" w14:textId="77777777" w:rsidR="00B704B0" w:rsidRDefault="00B704B0" w:rsidP="00505FB7">
            <w:pPr>
              <w:tabs>
                <w:tab w:val="left" w:pos="10206"/>
              </w:tabs>
              <w:spacing w:after="80"/>
              <w:ind w:right="652"/>
            </w:pPr>
            <w:r>
              <w:rPr>
                <w:color w:val="1A1A1A"/>
                <w:sz w:val="21"/>
                <w:szCs w:val="21"/>
              </w:rPr>
              <w:t>The only question the Department of Home Affairs may now ask is: does this person have a genuine, well-founded fear of persecution in their country of origin? That question must be assessed on its merits by a trained Refugee Status Determination Officer.</w:t>
            </w:r>
          </w:p>
          <w:p w14:paraId="2C9412FB" w14:textId="77777777" w:rsidR="00B704B0" w:rsidRDefault="00B704B0" w:rsidP="00505FB7">
            <w:pPr>
              <w:tabs>
                <w:tab w:val="left" w:pos="10206"/>
              </w:tabs>
              <w:spacing w:after="80"/>
              <w:ind w:right="652"/>
            </w:pPr>
            <w:r>
              <w:rPr>
                <w:color w:val="1A1A1A"/>
                <w:sz w:val="21"/>
                <w:szCs w:val="21"/>
              </w:rPr>
              <w:t>This applicant is entitled to submit their asylum application at any Refugee Reception Office without any prior procedural interview or transit visa requirement.</w:t>
            </w:r>
          </w:p>
        </w:tc>
      </w:tr>
    </w:tbl>
    <w:p w14:paraId="356EA4D5" w14:textId="77777777" w:rsidR="00B704B0" w:rsidRDefault="00B704B0" w:rsidP="00505FB7">
      <w:pPr>
        <w:tabs>
          <w:tab w:val="left" w:pos="10206"/>
        </w:tabs>
        <w:spacing w:after="160"/>
        <w:ind w:right="652"/>
      </w:pPr>
    </w:p>
    <w:p w14:paraId="2A2B0201" w14:textId="77777777" w:rsidR="00B704B0" w:rsidRDefault="00B704B0" w:rsidP="00505FB7">
      <w:pPr>
        <w:tabs>
          <w:tab w:val="left" w:pos="10206"/>
        </w:tabs>
        <w:spacing w:before="200" w:after="100"/>
        <w:ind w:right="652"/>
      </w:pPr>
      <w:r>
        <w:rPr>
          <w:b/>
          <w:bCs/>
          <w:color w:val="1B2A4A"/>
        </w:rPr>
        <w:t>2.4  The “Locked Door” Principle: No Procedural Hurdle May Prevent a Merits-Based Assessment</w:t>
      </w:r>
    </w:p>
    <w:p w14:paraId="2A2B0202" w14:textId="77777777" w:rsidR="00B704B0" w:rsidRDefault="00B704B0" w:rsidP="00505FB7">
      <w:pPr>
        <w:tabs>
          <w:tab w:val="left" w:pos="10206"/>
        </w:tabs>
        <w:spacing w:after="140"/>
        <w:ind w:right="652"/>
      </w:pPr>
      <w:r>
        <w:t>The Scalabrini judgment establishes a clear and constitutionally entrenched rule: the principle of non-refoulement requires that any person seeking asylum must be given an opportunity for a merits-based assessment of their claim. Any legislative provision that creates a procedural hurdle — such as how a person entered the country, or a delay in applying — which results in disqualification before such a merits-based assessment can take place, is an unconstitutional violation of this principle. The most powerful articulation of this is found in paragraphs [79] to [81] of the judgment: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2A2B0203"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2A2B0204" w14:textId="77777777" w:rsidR="00B704B0" w:rsidRDefault="00B704B0" w:rsidP="00505FB7">
            <w:pPr>
              <w:tabs>
                <w:tab w:val="left" w:pos="10206"/>
              </w:tabs>
              <w:spacing w:after="60"/>
              <w:ind w:right="652"/>
            </w:pPr>
            <w:r>
              <w:rPr>
                <w:b/>
                <w:bCs/>
                <w:color w:val="1B2A4A"/>
                <w:sz w:val="20"/>
                <w:szCs w:val="20"/>
              </w:rPr>
              <w:t>Majiedt J, Scalabrini v Minister of Home Affairs [2026] ZACC 30, paragraphs [79]–[81]</w:t>
            </w:r>
          </w:p>
          <w:p w14:paraId="2A2B0205" w14:textId="77777777" w:rsidR="00B704B0" w:rsidRDefault="00B704B0" w:rsidP="00505FB7">
            <w:pPr>
              <w:tabs>
                <w:tab w:val="left" w:pos="10206"/>
              </w:tabs>
              <w:spacing w:after="80"/>
              <w:ind w:right="652"/>
            </w:pPr>
            <w:r>
              <w:rPr>
                <w:i/>
                <w:iCs/>
                <w:color w:val="595959"/>
                <w:sz w:val="20"/>
                <w:szCs w:val="20"/>
              </w:rPr>
              <w:t>[79] These provisions have the joint effect that, once an application for asylum has been lodged, certain forms of procedural non-compliance may result in disqualification from refugee status. These provisions operate as procedural filters. They bear no resemblance in kind or gravity to the accepted and narrowly circumscribed exceptions to non-refoulement. Article 33 of the 1951 Refugee Convention permits a departure from non-refoulement only where there are reasonable grounds to regard a refugee as (a) a danger to the security of the host State; or (b) a danger to the community, having been convicted of a particularly serious crime.</w:t>
            </w:r>
          </w:p>
          <w:p w14:paraId="2A2B0206" w14:textId="77777777" w:rsidR="00B704B0" w:rsidRDefault="00B704B0" w:rsidP="00505FB7">
            <w:pPr>
              <w:tabs>
                <w:tab w:val="left" w:pos="10206"/>
              </w:tabs>
              <w:spacing w:after="80"/>
              <w:ind w:right="652"/>
            </w:pPr>
            <w:r>
              <w:rPr>
                <w:i/>
                <w:iCs/>
                <w:color w:val="595959"/>
                <w:sz w:val="20"/>
                <w:szCs w:val="20"/>
              </w:rPr>
              <w:t>[80] Thus, an applicant is excluded from a merits-based determination and is exposed to removal. In that respect, the provisions directly implicate the principle of non-refoulement. In this regard, it bears emphasis that all asylum seekers are protected by the principle of non-refoulement, and the protection applies as long as the claim to refugee status has not been finally rejected after a proper procedure on the merits.</w:t>
            </w:r>
          </w:p>
          <w:p w14:paraId="2A2B0207" w14:textId="77777777" w:rsidR="00B704B0" w:rsidRDefault="00B704B0" w:rsidP="00505FB7">
            <w:pPr>
              <w:tabs>
                <w:tab w:val="left" w:pos="10206"/>
              </w:tabs>
              <w:ind w:right="652"/>
            </w:pPr>
            <w:r>
              <w:rPr>
                <w:i/>
                <w:iCs/>
                <w:color w:val="595959"/>
                <w:sz w:val="20"/>
                <w:szCs w:val="20"/>
              </w:rPr>
              <w:t xml:space="preserve">[81] In Scalabrini I, a case with analogous facts and issues, this Court set its face firmly against the disbarment of asylum seekers from seeking refugee status by reason only of </w:t>
            </w:r>
            <w:r>
              <w:rPr>
                <w:i/>
                <w:iCs/>
                <w:color w:val="595959"/>
                <w:sz w:val="20"/>
                <w:szCs w:val="20"/>
              </w:rPr>
              <w:lastRenderedPageBreak/>
              <w:t>procedural missteps, no matter how severe. This Court regarded that as unconstitutional and an infringement of the non-refoulement principle: “The impugned subsections fly in the face of the prohibition contained in section 2 of the Act. The effect of section 2 is to ‘permit any person to enter and to remain in this country for the purpose of seeking asylum from persecution’ on account of the factors listed in subsections (a) and (b). It is then that the obligation not to return (refouler) an asylum seeker arises.”</w:t>
            </w:r>
          </w:p>
        </w:tc>
      </w:tr>
    </w:tbl>
    <w:p w14:paraId="2A2B0208" w14:textId="77777777" w:rsidR="00B704B0" w:rsidRDefault="00B704B0" w:rsidP="00505FB7">
      <w:pPr>
        <w:tabs>
          <w:tab w:val="left" w:pos="10206"/>
        </w:tabs>
        <w:spacing w:after="140"/>
        <w:ind w:right="652"/>
      </w:pPr>
      <w:r>
        <w:lastRenderedPageBreak/>
        <w:t>The Court’s concluding summary, at paragraph [107], puts the principle beyond argument: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2A2B0209"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2A2B0210" w14:textId="77777777" w:rsidR="00B704B0" w:rsidRDefault="00B704B0" w:rsidP="00505FB7">
            <w:pPr>
              <w:tabs>
                <w:tab w:val="left" w:pos="10206"/>
              </w:tabs>
              <w:spacing w:after="60"/>
              <w:ind w:right="652"/>
            </w:pPr>
            <w:r>
              <w:rPr>
                <w:b/>
                <w:bCs/>
                <w:color w:val="1B2A4A"/>
                <w:sz w:val="20"/>
                <w:szCs w:val="20"/>
              </w:rPr>
              <w:t>Majiedt J, Scalabrini v Minister of Home Affairs [2026] ZACC 30, paragraph [107]</w:t>
            </w:r>
          </w:p>
          <w:p w14:paraId="2A2B0211" w14:textId="77777777" w:rsidR="00B704B0" w:rsidRDefault="00B704B0" w:rsidP="00505FB7">
            <w:pPr>
              <w:tabs>
                <w:tab w:val="left" w:pos="10206"/>
              </w:tabs>
              <w:ind w:right="652"/>
            </w:pPr>
            <w:r>
              <w:rPr>
                <w:i/>
                <w:iCs/>
                <w:color w:val="595959"/>
                <w:sz w:val="20"/>
                <w:szCs w:val="20"/>
              </w:rPr>
              <w:t>“The impugned sections prevent asylum seekers from accessing a merits-based assessment of their claims on the basis of procedural non-compliance.” The judgment goes on to hold that these sections violate the principle of non-refoulement and the rights of children.</w:t>
            </w:r>
          </w:p>
        </w:tc>
      </w:tr>
    </w:tbl>
    <w:p w14:paraId="2A2B0212" w14:textId="77777777" w:rsidR="00B704B0" w:rsidRDefault="00B704B0" w:rsidP="00505FB7">
      <w:pPr>
        <w:tabs>
          <w:tab w:val="left" w:pos="10206"/>
        </w:tabs>
        <w:spacing w:after="140"/>
        <w:ind w:right="652"/>
      </w:pPr>
    </w:p>
    <w:p w14:paraId="2A2B0213" w14:textId="45EA86DC" w:rsidR="00B704B0" w:rsidRDefault="00B704B0" w:rsidP="00505FB7">
      <w:pPr>
        <w:tabs>
          <w:tab w:val="left" w:pos="10206"/>
        </w:tabs>
        <w:spacing w:after="140"/>
        <w:ind w:right="652"/>
      </w:pPr>
      <w:r>
        <w:rPr>
          <w:b/>
          <w:bCs/>
        </w:rPr>
        <w:t xml:space="preserve">In effect, the Scalabrini judgment locked that door against legislative attempts to close it: it confirmed that the fundamental right to seek asylum, triggered by intent, cannot be barred by procedural hurdles, and that any legislative scheme preventing a merits-based determination of an asylum claim on the basis of such procedural non-compliance is unconstitutional. Applying this directly: in terms of the Scalabrini judgment, </w:t>
      </w:r>
      <w:r w:rsidR="001D0FA7">
        <w:rPr>
          <w:b/>
          <w:bCs/>
        </w:rPr>
        <w:t>[title] [full names]</w:t>
      </w:r>
      <w:r>
        <w:rPr>
          <w:b/>
          <w:bCs/>
        </w:rPr>
        <w:t xml:space="preserve"> is an asylum seeker and is entitled to all the protections of the Refugees Act, and no procedural circumstance of his application — including the manner or timing of his online </w:t>
      </w:r>
      <w:proofErr w:type="gramStart"/>
      <w:r>
        <w:rPr>
          <w:b/>
          <w:bCs/>
        </w:rPr>
        <w:t xml:space="preserve">submission </w:t>
      </w:r>
      <w:r w:rsidR="00F85AA5">
        <w:rPr>
          <w:b/>
          <w:bCs/>
        </w:rPr>
        <w:t xml:space="preserve"> including</w:t>
      </w:r>
      <w:proofErr w:type="gramEnd"/>
      <w:r w:rsidR="00F85AA5">
        <w:rPr>
          <w:b/>
          <w:bCs/>
        </w:rPr>
        <w:t xml:space="preserve"> this judgement  &amp; DHA having to amend through parliament the relevant affected statues , viz Section 4  Regulation 21 </w:t>
      </w:r>
      <w:r>
        <w:rPr>
          <w:b/>
          <w:bCs/>
        </w:rPr>
        <w:t>— may lawfully be used to deny him a merits-based assessment of his claim.</w:t>
      </w:r>
    </w:p>
    <w:p w14:paraId="70B65325" w14:textId="77777777" w:rsidR="00B704B0" w:rsidRDefault="00B704B0" w:rsidP="00505FB7">
      <w:pPr>
        <w:tabs>
          <w:tab w:val="left" w:pos="10206"/>
        </w:tabs>
        <w:spacing w:before="280" w:after="120"/>
        <w:ind w:right="652"/>
      </w:pPr>
      <w:r>
        <w:rPr>
          <w:b/>
          <w:bCs/>
          <w:color w:val="1B2A4A"/>
          <w:sz w:val="24"/>
          <w:szCs w:val="24"/>
          <w:u w:val="single"/>
        </w:rPr>
        <w:t>3.  FACTUAL AND PROCEDURAL BACKGROUND</w:t>
      </w:r>
    </w:p>
    <w:p w14:paraId="1DA0B57E" w14:textId="77777777" w:rsidR="00B704B0" w:rsidRDefault="00B704B0" w:rsidP="00505FB7">
      <w:pPr>
        <w:tabs>
          <w:tab w:val="left" w:pos="10206"/>
        </w:tabs>
        <w:spacing w:after="140"/>
        <w:ind w:right="652"/>
      </w:pPr>
      <w:r>
        <w:t>Due to the COVID-19 pandemic, the Department of Home Affairs (DHA) suspended in-person asylum applications at Refugee Reception Offices (RROs) from 16 March 2020. With effect from 2 May 2022, the DHA instituted a mandatory online system for new applicants. A further compounding factor arose when the Refugees Amendment Act was published on 12 December 2019, met with many legal challenges due to its poor construction in law and in particular the new asylum and abandoned asylum provisions — culminating in many judgments and clarifications in law, including the Constitutional Court’s judgment of 7 July 2026 set out above.</w:t>
      </w:r>
    </w:p>
    <w:p w14:paraId="395F70C6" w14:textId="52148421" w:rsidR="00B704B0" w:rsidRDefault="001D0FA7" w:rsidP="00505FB7">
      <w:pPr>
        <w:tabs>
          <w:tab w:val="left" w:pos="10206"/>
        </w:tabs>
        <w:spacing w:after="140"/>
        <w:ind w:right="652"/>
      </w:pPr>
      <w:r>
        <w:rPr>
          <w:b/>
          <w:bCs/>
          <w:color w:val="EE0000"/>
        </w:rPr>
        <w:t>[title] [full names]</w:t>
      </w:r>
      <w:r w:rsidR="00B704B0">
        <w:rPr>
          <w:b/>
          <w:bCs/>
          <w:color w:val="EE0000"/>
        </w:rPr>
        <w:t xml:space="preserve"> has complied with the prescribed procedure by submitting their application via the DHA’s prescribed online channel and is in possession of confirmation that the application was received by the DHA. This process has created an administrative backlog exceeding 100,000 cases, resulting in severe and indefinite delays in the scheduling of interviews and the issuance of formal permits. These delays are systemic and entirely beyond </w:t>
      </w:r>
      <w:r>
        <w:rPr>
          <w:b/>
          <w:bCs/>
          <w:color w:val="EE0000"/>
        </w:rPr>
        <w:t>[title] [full names]</w:t>
      </w:r>
      <w:r w:rsidR="00B704B0">
        <w:rPr>
          <w:b/>
          <w:bCs/>
          <w:color w:val="EE0000"/>
        </w:rPr>
        <w:t>’s control.</w:t>
      </w:r>
    </w:p>
    <w:p w14:paraId="1D763925" w14:textId="77777777" w:rsidR="00B704B0" w:rsidRDefault="00B704B0" w:rsidP="00505FB7">
      <w:pPr>
        <w:tabs>
          <w:tab w:val="left" w:pos="10206"/>
        </w:tabs>
        <w:spacing w:before="280" w:after="120"/>
        <w:ind w:right="652"/>
      </w:pPr>
      <w:r>
        <w:rPr>
          <w:b/>
          <w:bCs/>
          <w:color w:val="1B2A4A"/>
          <w:sz w:val="24"/>
          <w:szCs w:val="24"/>
          <w:u w:val="single"/>
        </w:rPr>
        <w:t>4.  GOVERNING LEGAL FRAMEWORK AND BINDING JURISPRUDENCE</w:t>
      </w:r>
    </w:p>
    <w:p w14:paraId="5B7AF26B" w14:textId="77777777" w:rsidR="00B704B0" w:rsidRDefault="00B704B0" w:rsidP="00505FB7">
      <w:pPr>
        <w:tabs>
          <w:tab w:val="left" w:pos="10206"/>
        </w:tabs>
        <w:spacing w:after="140"/>
        <w:ind w:right="652"/>
      </w:pPr>
      <w:r>
        <w:t>The legal status of an individual who has evinced an intention to apply for asylum is unequivocally settled in South African law. The body of binding authority now includes the landmark Constitutional Court judgment of 7 July 2026 summarised in Section 2 above, as well as the following established principles.</w:t>
      </w:r>
    </w:p>
    <w:p w14:paraId="16B2D2A2" w14:textId="77777777" w:rsidR="001C7800" w:rsidRDefault="001C7800" w:rsidP="00505FB7">
      <w:pPr>
        <w:tabs>
          <w:tab w:val="left" w:pos="10206"/>
        </w:tabs>
        <w:spacing w:before="200" w:after="100"/>
        <w:ind w:right="652"/>
        <w:rPr>
          <w:b/>
          <w:bCs/>
          <w:color w:val="1B2A4A"/>
        </w:rPr>
      </w:pPr>
    </w:p>
    <w:p w14:paraId="65474992" w14:textId="77777777" w:rsidR="001C7800" w:rsidRDefault="001C7800" w:rsidP="00505FB7">
      <w:pPr>
        <w:tabs>
          <w:tab w:val="left" w:pos="10206"/>
        </w:tabs>
        <w:spacing w:before="200" w:after="100"/>
        <w:ind w:right="652"/>
        <w:rPr>
          <w:b/>
          <w:bCs/>
          <w:color w:val="1B2A4A"/>
        </w:rPr>
      </w:pPr>
    </w:p>
    <w:p w14:paraId="650E8772" w14:textId="77777777" w:rsidR="005F4025" w:rsidRDefault="005F4025" w:rsidP="00505FB7">
      <w:pPr>
        <w:tabs>
          <w:tab w:val="left" w:pos="10206"/>
        </w:tabs>
        <w:spacing w:before="200" w:after="100"/>
        <w:ind w:right="652"/>
        <w:rPr>
          <w:b/>
          <w:bCs/>
          <w:color w:val="1B2A4A"/>
        </w:rPr>
      </w:pPr>
    </w:p>
    <w:p w14:paraId="7ADE5322" w14:textId="77777777" w:rsidR="00B704B0" w:rsidRDefault="00B704B0" w:rsidP="00505FB7">
      <w:pPr>
        <w:tabs>
          <w:tab w:val="left" w:pos="10206"/>
        </w:tabs>
        <w:spacing w:before="200" w:after="100"/>
        <w:ind w:right="652"/>
      </w:pPr>
      <w:proofErr w:type="gramStart"/>
      <w:r>
        <w:rPr>
          <w:b/>
          <w:bCs/>
          <w:color w:val="1B2A4A"/>
        </w:rPr>
        <w:t>4.1  Statutory</w:t>
      </w:r>
      <w:proofErr w:type="gramEnd"/>
      <w:r>
        <w:rPr>
          <w:b/>
          <w:bCs/>
          <w:color w:val="1B2A4A"/>
        </w:rPr>
        <w:t xml:space="preserve"> Protections under the Refugees Act</w:t>
      </w:r>
    </w:p>
    <w:p w14:paraId="3E282B2C" w14:textId="77777777" w:rsidR="00B704B0" w:rsidRDefault="00B704B0" w:rsidP="00505FB7">
      <w:pPr>
        <w:tabs>
          <w:tab w:val="left" w:pos="10206"/>
        </w:tabs>
        <w:spacing w:after="140"/>
        <w:ind w:right="652"/>
      </w:pPr>
      <w:r>
        <w:t>Section 21 of the Refugees Act provides the foundational procedure and protections for asylum applicants. It reads, in part:</w:t>
      </w:r>
    </w:p>
    <w:p w14:paraId="260D1F83" w14:textId="77777777" w:rsidR="00B704B0" w:rsidRDefault="00B704B0" w:rsidP="00505FB7">
      <w:pPr>
        <w:tabs>
          <w:tab w:val="left" w:pos="10206"/>
        </w:tabs>
        <w:spacing w:after="120"/>
        <w:ind w:left="500" w:right="652"/>
      </w:pPr>
      <w:r>
        <w:rPr>
          <w:sz w:val="21"/>
          <w:szCs w:val="21"/>
        </w:rPr>
        <w:t>Section 21(2): The Refugee Reception Officer concerned—</w:t>
      </w:r>
    </w:p>
    <w:p w14:paraId="607EA6FA" w14:textId="77777777" w:rsidR="00B704B0" w:rsidRDefault="00B704B0" w:rsidP="00505FB7">
      <w:pPr>
        <w:tabs>
          <w:tab w:val="left" w:pos="10206"/>
        </w:tabs>
        <w:spacing w:after="120"/>
        <w:ind w:left="500" w:right="652"/>
      </w:pPr>
      <w:r>
        <w:rPr>
          <w:sz w:val="21"/>
          <w:szCs w:val="21"/>
        </w:rPr>
        <w:t>(a) Must accept the application form from the applicant;</w:t>
      </w:r>
    </w:p>
    <w:p w14:paraId="75D89C1C" w14:textId="77777777" w:rsidR="00B704B0" w:rsidRDefault="00B704B0" w:rsidP="00505FB7">
      <w:pPr>
        <w:tabs>
          <w:tab w:val="left" w:pos="10206"/>
        </w:tabs>
        <w:spacing w:after="120"/>
        <w:ind w:left="500" w:right="652"/>
      </w:pPr>
      <w:r>
        <w:rPr>
          <w:sz w:val="21"/>
          <w:szCs w:val="21"/>
        </w:rPr>
        <w:t>(b) Must see to it that the application form is properly completed, and, where necessary, must assist the applicant in this regard.</w:t>
      </w:r>
    </w:p>
    <w:p w14:paraId="11E9CF77" w14:textId="77777777" w:rsidR="00B704B0" w:rsidRDefault="00B704B0" w:rsidP="00505FB7">
      <w:pPr>
        <w:tabs>
          <w:tab w:val="left" w:pos="10206"/>
        </w:tabs>
        <w:spacing w:after="80"/>
        <w:ind w:right="652"/>
      </w:pPr>
    </w:p>
    <w:p w14:paraId="51C8D448" w14:textId="77777777" w:rsidR="00B704B0" w:rsidRDefault="00B704B0" w:rsidP="00505FB7">
      <w:pPr>
        <w:tabs>
          <w:tab w:val="left" w:pos="10206"/>
        </w:tabs>
        <w:spacing w:after="120"/>
        <w:ind w:left="500" w:right="652"/>
      </w:pPr>
      <w:r>
        <w:rPr>
          <w:sz w:val="21"/>
          <w:szCs w:val="21"/>
        </w:rPr>
        <w:t>Section 21(4): Notwithstanding any law to the contrary, no proceedings may be instituted or continued against any person in respect of his or her unlawful entry into or presence within the Republic if—</w:t>
      </w:r>
    </w:p>
    <w:p w14:paraId="2084B602" w14:textId="77777777" w:rsidR="00B704B0" w:rsidRDefault="00B704B0" w:rsidP="00505FB7">
      <w:pPr>
        <w:tabs>
          <w:tab w:val="left" w:pos="10206"/>
        </w:tabs>
        <w:spacing w:after="120"/>
        <w:ind w:left="500" w:right="652"/>
      </w:pPr>
      <w:r>
        <w:rPr>
          <w:sz w:val="21"/>
          <w:szCs w:val="21"/>
        </w:rPr>
        <w:t>(a) Such person has applied for asylum in terms of subsection (1), until a decision has been made on the application and, where applicable, such person has had an opportunity to exhaust his or her rights of review or appeal.</w:t>
      </w:r>
    </w:p>
    <w:p w14:paraId="1E473B21" w14:textId="77777777" w:rsidR="00B704B0" w:rsidRDefault="00B704B0" w:rsidP="00505FB7">
      <w:pPr>
        <w:tabs>
          <w:tab w:val="left" w:pos="10206"/>
        </w:tabs>
        <w:spacing w:before="200" w:after="100"/>
        <w:ind w:right="652"/>
      </w:pPr>
      <w:r>
        <w:rPr>
          <w:b/>
          <w:bCs/>
          <w:color w:val="1B2A4A"/>
        </w:rPr>
        <w:t>4.2  The Foundational Scheme of the Refugees 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4B1660E2"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2DB410A5" w14:textId="77777777" w:rsidR="00B704B0" w:rsidRDefault="00B704B0" w:rsidP="00505FB7">
            <w:pPr>
              <w:tabs>
                <w:tab w:val="left" w:pos="10206"/>
              </w:tabs>
              <w:spacing w:after="60"/>
              <w:ind w:right="652"/>
            </w:pPr>
            <w:r>
              <w:rPr>
                <w:b/>
                <w:bCs/>
                <w:color w:val="1B2A4A"/>
                <w:sz w:val="20"/>
                <w:szCs w:val="20"/>
              </w:rPr>
              <w:t>Ahmed and Others v Minister of Home Affairs and another (CCT273/17) [2018] ZACC 39</w:t>
            </w:r>
          </w:p>
          <w:p w14:paraId="6FEF517F" w14:textId="77777777" w:rsidR="00B704B0" w:rsidRDefault="00B704B0" w:rsidP="00505FB7">
            <w:pPr>
              <w:tabs>
                <w:tab w:val="left" w:pos="10206"/>
              </w:tabs>
              <w:ind w:right="652"/>
            </w:pPr>
            <w:r>
              <w:rPr>
                <w:i/>
                <w:iCs/>
                <w:color w:val="595959"/>
                <w:sz w:val="20"/>
                <w:szCs w:val="20"/>
              </w:rPr>
              <w:t>[24] The Refugees Act distinguishes between asylum seekers and refugees. An asylum seeker is someone who has arrived in South Africa and applied for asylum… A refugee is someone who has been granted asylum. The Refugees Act protects both groups… [26] Once asylum seekers have entered South Africa, they must apply for asylum at a Refugee Reception Office. The Refugee Reception Officer must issue an asylum seeker permit to the applicant pending the outcome of his application for asylum. [27] …If the application for asylum succeeds, the applicant becomes entitled to all the rights of refugees provided for in sections 27 to 34. These include the rights to live and work in South Africa…</w:t>
            </w:r>
          </w:p>
        </w:tc>
      </w:tr>
    </w:tbl>
    <w:p w14:paraId="348F9FBC" w14:textId="77777777" w:rsidR="00B704B0" w:rsidRDefault="00B704B0" w:rsidP="00505FB7">
      <w:pPr>
        <w:tabs>
          <w:tab w:val="left" w:pos="10206"/>
        </w:tabs>
        <w:spacing w:after="140"/>
        <w:ind w:right="652"/>
      </w:pPr>
    </w:p>
    <w:p w14:paraId="04EFBCC7" w14:textId="77777777" w:rsidR="00B704B0" w:rsidRDefault="00B704B0" w:rsidP="00505FB7">
      <w:pPr>
        <w:tabs>
          <w:tab w:val="left" w:pos="10206"/>
        </w:tabs>
        <w:spacing w:before="200" w:after="100"/>
        <w:ind w:right="652"/>
      </w:pPr>
      <w:r>
        <w:rPr>
          <w:b/>
          <w:bCs/>
          <w:color w:val="1B2A4A"/>
        </w:rPr>
        <w:t>4.3  The Trigger for Legal Protection: An Intention to Apply</w:t>
      </w:r>
    </w:p>
    <w:p w14:paraId="7C29CAB9" w14:textId="77777777" w:rsidR="00B704B0" w:rsidRDefault="00B704B0" w:rsidP="00505FB7">
      <w:pPr>
        <w:tabs>
          <w:tab w:val="left" w:pos="10206"/>
        </w:tabs>
        <w:spacing w:after="140"/>
        <w:ind w:right="652"/>
      </w:pPr>
      <w:r>
        <w:t>Protection is not contingent on possessing a permit, but is triggered by the mere expression of an intention to seek asylum.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5A39C963"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6A531065" w14:textId="77777777" w:rsidR="00B704B0" w:rsidRDefault="00B704B0" w:rsidP="00505FB7">
            <w:pPr>
              <w:tabs>
                <w:tab w:val="left" w:pos="10206"/>
              </w:tabs>
              <w:spacing w:after="60"/>
              <w:ind w:right="652"/>
            </w:pPr>
            <w:r>
              <w:rPr>
                <w:b/>
                <w:bCs/>
                <w:color w:val="1B2A4A"/>
                <w:sz w:val="20"/>
                <w:szCs w:val="20"/>
              </w:rPr>
              <w:t>Ashebo v Minister of Home Affairs (CCT/25022, decided 12 June 2023) — Constitutional Court</w:t>
            </w:r>
          </w:p>
          <w:p w14:paraId="0FA8CFD5" w14:textId="77777777" w:rsidR="00B704B0" w:rsidRDefault="00B704B0" w:rsidP="00505FB7">
            <w:pPr>
              <w:tabs>
                <w:tab w:val="left" w:pos="10206"/>
              </w:tabs>
              <w:ind w:right="652"/>
            </w:pPr>
            <w:r>
              <w:rPr>
                <w:i/>
                <w:iCs/>
                <w:color w:val="595959"/>
                <w:sz w:val="20"/>
                <w:szCs w:val="20"/>
              </w:rPr>
              <w:t>36.2  The Refugees Act is triggered by an intimation of a desire to apply for asylum by an illegal foreigner, not by a formal application being submitted. 36.3  An illegal foreigner in detention under section 34 is entitled to be released from detention at once when an intimation to apply for asylum is expressed.</w:t>
            </w:r>
          </w:p>
        </w:tc>
      </w:tr>
    </w:tbl>
    <w:p w14:paraId="75EFBED7" w14:textId="77777777" w:rsidR="00B704B0" w:rsidRDefault="00B704B0" w:rsidP="00505FB7">
      <w:pPr>
        <w:tabs>
          <w:tab w:val="left" w:pos="10206"/>
        </w:tabs>
        <w:spacing w:after="140"/>
        <w:ind w:right="65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50D8AECB"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0979432F" w14:textId="77777777" w:rsidR="00B704B0" w:rsidRDefault="00B704B0" w:rsidP="00505FB7">
            <w:pPr>
              <w:tabs>
                <w:tab w:val="left" w:pos="10206"/>
              </w:tabs>
              <w:spacing w:after="60"/>
              <w:ind w:right="652"/>
            </w:pPr>
            <w:r>
              <w:rPr>
                <w:b/>
                <w:bCs/>
                <w:color w:val="1B2A4A"/>
                <w:sz w:val="20"/>
                <w:szCs w:val="20"/>
              </w:rPr>
              <w:t>Bula v Minister of Home Affairs (SCA Case no: 589/11) — Supreme Court of Appeal</w:t>
            </w:r>
          </w:p>
          <w:p w14:paraId="0C1305F8" w14:textId="77777777" w:rsidR="00B704B0" w:rsidRDefault="00B704B0" w:rsidP="00505FB7">
            <w:pPr>
              <w:tabs>
                <w:tab w:val="left" w:pos="10206"/>
              </w:tabs>
              <w:ind w:right="652"/>
            </w:pPr>
            <w:r>
              <w:rPr>
                <w:i/>
                <w:iCs/>
                <w:color w:val="595959"/>
                <w:sz w:val="20"/>
                <w:szCs w:val="20"/>
              </w:rPr>
              <w:t>[80] It follows ineluctably that once an intention to apply for asylum is evinced the protective provisions of the Act and the associated regulations come into play and the asylum seeker is entitled as of right to be set free subject to the provisions of the Act.</w:t>
            </w:r>
          </w:p>
        </w:tc>
      </w:tr>
    </w:tbl>
    <w:p w14:paraId="23B68853" w14:textId="77777777" w:rsidR="00B704B0" w:rsidRDefault="00B704B0" w:rsidP="00505FB7">
      <w:pPr>
        <w:tabs>
          <w:tab w:val="left" w:pos="10206"/>
        </w:tabs>
        <w:spacing w:after="140"/>
        <w:ind w:right="652"/>
      </w:pPr>
    </w:p>
    <w:p w14:paraId="1A2B0101" w14:textId="77777777" w:rsidR="00B704B0" w:rsidRDefault="00B704B0" w:rsidP="00505FB7">
      <w:pPr>
        <w:tabs>
          <w:tab w:val="left" w:pos="10206"/>
        </w:tabs>
        <w:spacing w:before="200" w:after="100"/>
        <w:ind w:right="652"/>
      </w:pPr>
      <w:r>
        <w:rPr>
          <w:b/>
          <w:bCs/>
          <w:color w:val="1B2A4A"/>
        </w:rPr>
        <w:t>4.3.1  The Ruta Confirmation: Once Intention is Evinced, the Person Is an Asylum Seeker</w:t>
      </w:r>
    </w:p>
    <w:p w14:paraId="1A2B0102" w14:textId="77777777" w:rsidR="00B704B0" w:rsidRDefault="00B704B0" w:rsidP="00505FB7">
      <w:pPr>
        <w:tabs>
          <w:tab w:val="left" w:pos="10206"/>
        </w:tabs>
        <w:spacing w:after="140"/>
        <w:ind w:right="652"/>
      </w:pPr>
      <w:r>
        <w:t>The Constitutional Court’s own words in Ruta place this beyond any doubt. Having reviewed and affirmed the Supreme Court of Appeal’s own precedents (Abdi, Arse, Bula and Ersumo), the Court held: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1A2B0103"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1A2B0104" w14:textId="77777777" w:rsidR="00B704B0" w:rsidRDefault="00B704B0" w:rsidP="00505FB7">
            <w:pPr>
              <w:tabs>
                <w:tab w:val="left" w:pos="10206"/>
              </w:tabs>
              <w:spacing w:after="60"/>
              <w:ind w:right="652"/>
            </w:pPr>
            <w:r>
              <w:rPr>
                <w:b/>
                <w:bCs/>
                <w:color w:val="1B2A4A"/>
                <w:sz w:val="20"/>
                <w:szCs w:val="20"/>
              </w:rPr>
              <w:t>Ruta v Minister of Home Affairs (CCT02/18) [2018] ZACC 52 — Constitutional Court, paragraph [18]</w:t>
            </w:r>
          </w:p>
          <w:p w14:paraId="1A2B0105" w14:textId="77777777" w:rsidR="00B704B0" w:rsidRDefault="00B704B0" w:rsidP="00505FB7">
            <w:pPr>
              <w:tabs>
                <w:tab w:val="left" w:pos="10206"/>
              </w:tabs>
              <w:ind w:right="652"/>
            </w:pPr>
            <w:r>
              <w:rPr>
                <w:i/>
                <w:iCs/>
                <w:color w:val="595959"/>
                <w:sz w:val="20"/>
                <w:szCs w:val="20"/>
              </w:rPr>
              <w:t>[18] …The Department’s officials have a duty to ensure that intending applicants not statutorily excluded are given every reasonable opportunity to apply (Abdi). A contention by the Department that only those who at “the first available opportunity” indicate their intention to apply for asylum are entitled to do so was roundly rejected. The “every reasonable opportunity”, at any stage, standard of Abdi was reaffirmed. It followed “ineluctably” that, once an intention to apply for asylum was evinced, the protective provisions of the Refugees Act and regulations come into play and “the asylum seeker is entitled as of right to be set free subject to the provisions of the [Refugees] Act” (Bula).</w:t>
            </w:r>
          </w:p>
        </w:tc>
      </w:tr>
    </w:tbl>
    <w:p w14:paraId="1A2B0106" w14:textId="77777777" w:rsidR="00B704B0" w:rsidRDefault="00B704B0" w:rsidP="00505FB7">
      <w:pPr>
        <w:tabs>
          <w:tab w:val="left" w:pos="10206"/>
        </w:tabs>
        <w:spacing w:after="140"/>
        <w:ind w:right="652"/>
      </w:pPr>
    </w:p>
    <w:p w14:paraId="1A2B0107" w14:textId="77777777" w:rsidR="00B704B0" w:rsidRDefault="00B704B0" w:rsidP="00505FB7">
      <w:pPr>
        <w:tabs>
          <w:tab w:val="left" w:pos="10206"/>
        </w:tabs>
        <w:spacing w:after="140"/>
        <w:ind w:right="652"/>
      </w:pPr>
      <w:r>
        <w:t>This is reinforced by regulation 2(2) of the Refugee Regulations issued under section 38 of the Refugees Act, referenced by the Court in support of this holding: any person encountered in violation of the Immigration Act who has not yet submitted a formal application, but indicates an intention to apply for asylum, must be issued an appropriate permit valid for 14 days within which to approach a Refugee Reception Office to complete the asylum application.</w:t>
      </w:r>
    </w:p>
    <w:p w14:paraId="1A2B0108" w14:textId="2B1F4984" w:rsidR="00B704B0" w:rsidRDefault="00B704B0" w:rsidP="00505FB7">
      <w:pPr>
        <w:tabs>
          <w:tab w:val="left" w:pos="10206"/>
        </w:tabs>
        <w:spacing w:after="140"/>
        <w:ind w:right="652"/>
      </w:pPr>
      <w:r>
        <w:rPr>
          <w:b/>
          <w:bCs/>
        </w:rPr>
        <w:t xml:space="preserve">Applying this principle directly: </w:t>
      </w:r>
      <w:r w:rsidR="001D0FA7">
        <w:rPr>
          <w:b/>
          <w:bCs/>
        </w:rPr>
        <w:t>[title] [full names]</w:t>
      </w:r>
      <w:r>
        <w:rPr>
          <w:b/>
          <w:bCs/>
        </w:rPr>
        <w:t>, having evinced his intention to apply for asylum by submitting his application via the DHA’s prescribed online channel, is in law an asylum seeker as defined by the Refugees Act, and is entitled to the full and immediate protection afforded to asylum seekers under the Act — including protection from arrest, detention, prosecution or deportation under section 21(4) — pending the final determination of his application.</w:t>
      </w:r>
    </w:p>
    <w:p w14:paraId="2C98A52E" w14:textId="77777777" w:rsidR="00B704B0" w:rsidRDefault="00B704B0" w:rsidP="00505FB7">
      <w:pPr>
        <w:tabs>
          <w:tab w:val="left" w:pos="10206"/>
        </w:tabs>
        <w:spacing w:before="200" w:after="100"/>
        <w:ind w:right="652"/>
      </w:pPr>
      <w:r>
        <w:rPr>
          <w:b/>
          <w:bCs/>
          <w:color w:val="1B2A4A"/>
        </w:rPr>
        <w:t>4.4  The Absolute Nature of Non-Refoulement and Protection from Deportation</w:t>
      </w:r>
    </w:p>
    <w:p w14:paraId="7705A50F" w14:textId="77777777" w:rsidR="00B704B0" w:rsidRDefault="00B704B0" w:rsidP="00505FB7">
      <w:pPr>
        <w:tabs>
          <w:tab w:val="left" w:pos="10206"/>
        </w:tabs>
        <w:spacing w:after="140"/>
        <w:ind w:right="652"/>
      </w:pPr>
      <w:r>
        <w:t>The prohibition against deporting an asylum seeker before their claim is finalised is absolute. This is now reinforced by the ZACC 30 judgment of 7 July 2026 (set out in Section 2 above), as well as the established principle from Ashebo, Ruta and Abore: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19F0B4B6"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2E9A1800" w14:textId="77777777" w:rsidR="00B704B0" w:rsidRDefault="00B704B0" w:rsidP="00505FB7">
            <w:pPr>
              <w:tabs>
                <w:tab w:val="left" w:pos="10206"/>
              </w:tabs>
              <w:spacing w:after="60"/>
              <w:ind w:right="652"/>
            </w:pPr>
            <w:r>
              <w:rPr>
                <w:b/>
                <w:bCs/>
                <w:color w:val="1B2A4A"/>
                <w:sz w:val="20"/>
                <w:szCs w:val="20"/>
              </w:rPr>
              <w:t>Ashebo v Minister of Home Affairs — Constitutional Court (2023)</w:t>
            </w:r>
          </w:p>
          <w:p w14:paraId="68979309" w14:textId="77777777" w:rsidR="00B704B0" w:rsidRDefault="00B704B0" w:rsidP="00505FB7">
            <w:pPr>
              <w:tabs>
                <w:tab w:val="left" w:pos="10206"/>
              </w:tabs>
              <w:ind w:right="652"/>
            </w:pPr>
            <w:r>
              <w:rPr>
                <w:i/>
                <w:iCs/>
                <w:color w:val="595959"/>
                <w:sz w:val="20"/>
                <w:szCs w:val="20"/>
              </w:rPr>
              <w:t>[31] …the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 to apply for asylum, and a proper determination procedure should be embarked upon and completed. The ‘shield of non-refoulement’ may only be lifted after that process has been completed.</w:t>
            </w:r>
          </w:p>
        </w:tc>
      </w:tr>
    </w:tbl>
    <w:p w14:paraId="425167EF" w14:textId="77777777" w:rsidR="00B704B0" w:rsidRDefault="00B704B0" w:rsidP="00505FB7">
      <w:pPr>
        <w:tabs>
          <w:tab w:val="left" w:pos="10206"/>
        </w:tabs>
        <w:spacing w:after="140"/>
        <w:ind w:right="652"/>
      </w:pPr>
    </w:p>
    <w:p w14:paraId="480D100B" w14:textId="77777777" w:rsidR="00B704B0" w:rsidRDefault="00B704B0" w:rsidP="00505FB7">
      <w:pPr>
        <w:tabs>
          <w:tab w:val="left" w:pos="10206"/>
        </w:tabs>
        <w:spacing w:after="140"/>
        <w:ind w:right="652"/>
      </w:pPr>
      <w:r>
        <w:t>This principle is enforced by explicit court interdicts. In Scalabrini Centre of Cape Town and Another v Minister of Home Affairs and Others (8486/2024), the Western Cape High Court declared on 13 September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531DF8B6"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382D5621" w14:textId="77777777" w:rsidR="00B704B0" w:rsidRDefault="00B704B0" w:rsidP="00505FB7">
            <w:pPr>
              <w:tabs>
                <w:tab w:val="left" w:pos="10206"/>
              </w:tabs>
              <w:spacing w:after="60"/>
              <w:ind w:right="652"/>
            </w:pPr>
            <w:r>
              <w:rPr>
                <w:b/>
                <w:bCs/>
                <w:color w:val="1B2A4A"/>
                <w:sz w:val="20"/>
                <w:szCs w:val="20"/>
              </w:rPr>
              <w:lastRenderedPageBreak/>
              <w:t>Western Cape High Court, Case 8486/2024, 13 September 2024 — Binding interdict still in force</w:t>
            </w:r>
          </w:p>
          <w:p w14:paraId="3E4E0B8D" w14:textId="77777777" w:rsidR="00B704B0" w:rsidRDefault="00B704B0" w:rsidP="00505FB7">
            <w:pPr>
              <w:tabs>
                <w:tab w:val="left" w:pos="10206"/>
              </w:tabs>
              <w:ind w:right="652"/>
            </w:pPr>
            <w:r>
              <w:rPr>
                <w:i/>
                <w:iCs/>
                <w:color w:val="595959"/>
                <w:sz w:val="20"/>
                <w:szCs w:val="20"/>
              </w:rPr>
              <w:t>“The Respondents are interdicted from initiating any process to deport any foreign national present in the Republic in the event that such foreign national has indicated an intention to make an application for asylum in terms of section 21(1)(b) of the Refugees Act 130 of 1998.”</w:t>
            </w:r>
          </w:p>
        </w:tc>
      </w:tr>
    </w:tbl>
    <w:p w14:paraId="3FDB4BD0" w14:textId="77777777" w:rsidR="00B704B0" w:rsidRDefault="00B704B0" w:rsidP="00505FB7">
      <w:pPr>
        <w:tabs>
          <w:tab w:val="left" w:pos="10206"/>
        </w:tabs>
        <w:spacing w:after="140"/>
        <w:ind w:right="652"/>
      </w:pPr>
    </w:p>
    <w:p w14:paraId="5AF84167" w14:textId="77777777" w:rsidR="00B704B0" w:rsidRDefault="00B704B0" w:rsidP="00505FB7">
      <w:pPr>
        <w:tabs>
          <w:tab w:val="left" w:pos="10206"/>
        </w:tabs>
        <w:spacing w:before="200" w:after="100"/>
        <w:ind w:right="652"/>
      </w:pPr>
      <w:r>
        <w:rPr>
          <w:b/>
          <w:bCs/>
          <w:color w:val="1B2A4A"/>
        </w:rPr>
        <w:t xml:space="preserve">4.5  Irrelevance of Delay in Applying — Now Reinforced by ZACC 30 - </w:t>
      </w:r>
      <w:r>
        <w:rPr>
          <w:b/>
          <w:bCs/>
          <w:color w:val="1B2A4A"/>
          <w:sz w:val="20"/>
          <w:szCs w:val="20"/>
        </w:rPr>
        <w:t>Constitutional Court</w:t>
      </w:r>
    </w:p>
    <w:p w14:paraId="00F1FA44" w14:textId="77777777" w:rsidR="00B704B0" w:rsidRDefault="00B704B0" w:rsidP="00505FB7">
      <w:pPr>
        <w:tabs>
          <w:tab w:val="left" w:pos="10206"/>
        </w:tabs>
        <w:spacing w:after="140"/>
        <w:ind w:right="652"/>
      </w:pPr>
      <w:r>
        <w:t>Any delay in making an application is not a bar to seeking asylum. This principle, established in Ruta and Abore, has been comprehensively reinforced and expanded by the Constitutional Court’s judgment of 7 July 2026, which struck down the provisions that imposed time limits as a basis for disqualification: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27C7FC7E"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5E1AC11E" w14:textId="77777777" w:rsidR="00B704B0" w:rsidRDefault="00B704B0" w:rsidP="00505FB7">
            <w:pPr>
              <w:tabs>
                <w:tab w:val="left" w:pos="10206"/>
              </w:tabs>
              <w:spacing w:after="60"/>
              <w:ind w:right="652"/>
            </w:pPr>
            <w:r>
              <w:rPr>
                <w:b/>
                <w:bCs/>
                <w:color w:val="1B2A4A"/>
                <w:sz w:val="20"/>
                <w:szCs w:val="20"/>
              </w:rPr>
              <w:t>Ruta v Minister of Home Affairs (CCT02/18) [2018] ZACC 52 — Constitutional Court</w:t>
            </w:r>
          </w:p>
          <w:p w14:paraId="436F8181" w14:textId="77777777" w:rsidR="00B704B0" w:rsidRDefault="00B704B0" w:rsidP="00505FB7">
            <w:pPr>
              <w:tabs>
                <w:tab w:val="left" w:pos="10206"/>
              </w:tabs>
              <w:ind w:right="652"/>
            </w:pPr>
            <w:r>
              <w:rPr>
                <w:i/>
                <w:iCs/>
                <w:color w:val="595959"/>
                <w:sz w:val="20"/>
                <w:szCs w:val="20"/>
              </w:rPr>
              <w:t>[56] …At no stage however does delay function as an absolute disqualification from initiating the asylum application process.</w:t>
            </w:r>
          </w:p>
        </w:tc>
      </w:tr>
    </w:tbl>
    <w:p w14:paraId="3E2E4451" w14:textId="77777777" w:rsidR="00B704B0" w:rsidRDefault="00B704B0" w:rsidP="00505FB7">
      <w:pPr>
        <w:tabs>
          <w:tab w:val="left" w:pos="10206"/>
        </w:tabs>
        <w:spacing w:after="140"/>
        <w:ind w:right="65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065080C0"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0FFFA967" w14:textId="77777777" w:rsidR="00B704B0" w:rsidRDefault="00B704B0" w:rsidP="00505FB7">
            <w:pPr>
              <w:tabs>
                <w:tab w:val="left" w:pos="10206"/>
              </w:tabs>
              <w:spacing w:after="60"/>
              <w:ind w:right="652"/>
            </w:pPr>
            <w:r>
              <w:rPr>
                <w:b/>
                <w:bCs/>
                <w:color w:val="1B2A4A"/>
                <w:sz w:val="20"/>
                <w:szCs w:val="20"/>
              </w:rPr>
              <w:t>Desta Abore v Minister of Home Affairs and Another (CCT115/21) — Constitutional Court</w:t>
            </w:r>
          </w:p>
          <w:p w14:paraId="5E127CF4" w14:textId="77777777" w:rsidR="00B704B0" w:rsidRDefault="00B704B0" w:rsidP="00505FB7">
            <w:pPr>
              <w:tabs>
                <w:tab w:val="left" w:pos="10206"/>
              </w:tabs>
              <w:ind w:right="652"/>
            </w:pPr>
            <w:r>
              <w:rPr>
                <w:i/>
                <w:iCs/>
                <w:color w:val="595959"/>
                <w:sz w:val="20"/>
                <w:szCs w:val="20"/>
              </w:rPr>
              <w:t>Delay is “only relevant to determine whether someone is a genuine refugee” and “should at no stage function as an absolute disqualification from initiating the asylum application process.”</w:t>
            </w:r>
          </w:p>
        </w:tc>
      </w:tr>
    </w:tbl>
    <w:p w14:paraId="5967ECA3" w14:textId="77777777" w:rsidR="00B704B0" w:rsidRDefault="00B704B0" w:rsidP="00505FB7">
      <w:pPr>
        <w:tabs>
          <w:tab w:val="left" w:pos="10206"/>
        </w:tabs>
        <w:spacing w:after="140"/>
        <w:ind w:right="652"/>
      </w:pPr>
    </w:p>
    <w:p w14:paraId="4E2FDE0E" w14:textId="77777777" w:rsidR="00B704B0" w:rsidRDefault="00B704B0" w:rsidP="00505FB7">
      <w:pPr>
        <w:tabs>
          <w:tab w:val="left" w:pos="10206"/>
        </w:tabs>
        <w:spacing w:before="200" w:after="100"/>
        <w:ind w:right="652"/>
      </w:pPr>
      <w:proofErr w:type="gramStart"/>
      <w:r>
        <w:rPr>
          <w:b/>
          <w:bCs/>
          <w:color w:val="1B2A4A"/>
        </w:rPr>
        <w:t>4.6  Status</w:t>
      </w:r>
      <w:proofErr w:type="gramEnd"/>
      <w:r>
        <w:rPr>
          <w:b/>
          <w:bCs/>
          <w:color w:val="1B2A4A"/>
        </w:rPr>
        <w:t xml:space="preserve"> During Detention and Supremacy of the Refugees Act</w:t>
      </w:r>
    </w:p>
    <w:p w14:paraId="1D669E3F" w14:textId="77777777" w:rsidR="00B704B0" w:rsidRDefault="00B704B0" w:rsidP="00505FB7">
      <w:pPr>
        <w:tabs>
          <w:tab w:val="left" w:pos="10206"/>
        </w:tabs>
        <w:spacing w:after="140"/>
        <w:ind w:right="652"/>
      </w:pPr>
      <w:r>
        <w:t>Even if an individual is detained as an ‘illegal foreigner’ under the Immigration Act, the moment they express an intention to seek asylum, the Refugees Act becomes the prevailing statute.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22289EA1"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04D1A497" w14:textId="77777777" w:rsidR="00B704B0" w:rsidRDefault="00B704B0" w:rsidP="00505FB7">
            <w:pPr>
              <w:tabs>
                <w:tab w:val="left" w:pos="10206"/>
              </w:tabs>
              <w:spacing w:after="60"/>
              <w:ind w:right="652"/>
            </w:pPr>
            <w:r>
              <w:rPr>
                <w:b/>
                <w:bCs/>
                <w:color w:val="1B2A4A"/>
                <w:sz w:val="20"/>
                <w:szCs w:val="20"/>
              </w:rPr>
              <w:t>Ruta v Minister of Home Affairs — Constitutional Court</w:t>
            </w:r>
          </w:p>
          <w:p w14:paraId="79A3F631" w14:textId="77777777" w:rsidR="00B704B0" w:rsidRDefault="00B704B0" w:rsidP="00505FB7">
            <w:pPr>
              <w:tabs>
                <w:tab w:val="left" w:pos="10206"/>
              </w:tabs>
              <w:ind w:right="652"/>
            </w:pPr>
            <w:r>
              <w:rPr>
                <w:i/>
                <w:iCs/>
                <w:color w:val="595959"/>
                <w:sz w:val="20"/>
                <w:szCs w:val="20"/>
              </w:rPr>
              <w:t>[32] Though an asylum seeker who is in the country unlawfully is an ‘illegal foreigner’ under the Immigration Act, and liable to deportation, the specific provisions of the Refugees Act intercede to provide imperatively that, notwithstanding that status, his or her claim to asylum must first be processed under the Refugees Act.</w:t>
            </w:r>
          </w:p>
        </w:tc>
      </w:tr>
    </w:tbl>
    <w:p w14:paraId="0B5A3E77" w14:textId="77777777" w:rsidR="00B704B0" w:rsidRDefault="00B704B0" w:rsidP="00505FB7">
      <w:pPr>
        <w:tabs>
          <w:tab w:val="left" w:pos="10206"/>
        </w:tabs>
        <w:spacing w:after="140"/>
        <w:ind w:right="652"/>
      </w:pPr>
    </w:p>
    <w:p w14:paraId="201B02A5" w14:textId="77777777" w:rsidR="00B704B0" w:rsidRDefault="00B704B0" w:rsidP="00505FB7">
      <w:pPr>
        <w:tabs>
          <w:tab w:val="left" w:pos="10206"/>
        </w:tabs>
        <w:spacing w:before="200" w:after="100"/>
        <w:ind w:right="652"/>
      </w:pPr>
      <w:r>
        <w:rPr>
          <w:b/>
          <w:bCs/>
          <w:color w:val="1B2A4A"/>
        </w:rPr>
        <w:t>4.7  Administrative Failures by the State Cannot Prejudice the Applicant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22627C7E"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47413C3F" w14:textId="77777777" w:rsidR="00B704B0" w:rsidRDefault="00B704B0" w:rsidP="00505FB7">
            <w:pPr>
              <w:tabs>
                <w:tab w:val="left" w:pos="10206"/>
              </w:tabs>
              <w:spacing w:after="60"/>
              <w:ind w:right="652"/>
            </w:pPr>
            <w:r>
              <w:rPr>
                <w:b/>
                <w:bCs/>
                <w:color w:val="1B2A4A"/>
                <w:sz w:val="20"/>
                <w:szCs w:val="20"/>
              </w:rPr>
              <w:t>Maow v Minister of Home Affairs and Others (13 January 2025) — High Court</w:t>
            </w:r>
          </w:p>
          <w:p w14:paraId="2CB12198" w14:textId="77777777" w:rsidR="00B704B0" w:rsidRDefault="00B704B0" w:rsidP="00505FB7">
            <w:pPr>
              <w:tabs>
                <w:tab w:val="left" w:pos="10206"/>
              </w:tabs>
              <w:ind w:right="652"/>
            </w:pPr>
            <w:r>
              <w:rPr>
                <w:i/>
                <w:iCs/>
                <w:color w:val="595959"/>
                <w:sz w:val="20"/>
                <w:szCs w:val="20"/>
              </w:rPr>
              <w:t>The absence of an application in the Department’s electronic system does not necessarily mean the person did not apply. The burden is on the Department of Home Affairs to ensure accurate and reliable record-keeping. Asylum seekers cannot be punished for the DHA’s administrative shortcomings.</w:t>
            </w:r>
          </w:p>
        </w:tc>
      </w:tr>
    </w:tbl>
    <w:p w14:paraId="374EB10F" w14:textId="77777777" w:rsidR="00B704B0" w:rsidRDefault="00B704B0" w:rsidP="00505FB7">
      <w:pPr>
        <w:tabs>
          <w:tab w:val="left" w:pos="10206"/>
        </w:tabs>
        <w:spacing w:after="140"/>
        <w:ind w:right="652"/>
      </w:pPr>
    </w:p>
    <w:p w14:paraId="60EB6AA2" w14:textId="77777777" w:rsidR="00B704B0" w:rsidRDefault="00B704B0" w:rsidP="00505FB7">
      <w:pPr>
        <w:tabs>
          <w:tab w:val="left" w:pos="10206"/>
        </w:tabs>
        <w:spacing w:before="200" w:after="100"/>
        <w:ind w:right="652"/>
      </w:pPr>
      <w:r>
        <w:rPr>
          <w:b/>
          <w:bCs/>
          <w:color w:val="1B2A4A"/>
        </w:rPr>
        <w:t>4.8  Unconstitutionality of Technical Barriers to Asylum — Now Definitively Settled</w:t>
      </w:r>
    </w:p>
    <w:p w14:paraId="4266AF0E" w14:textId="77777777" w:rsidR="00B704B0" w:rsidRDefault="00B704B0" w:rsidP="00505FB7">
      <w:pPr>
        <w:tabs>
          <w:tab w:val="left" w:pos="10206"/>
        </w:tabs>
        <w:spacing w:after="140"/>
        <w:ind w:right="652"/>
      </w:pPr>
      <w:r>
        <w:t>The courts have now definitively struck down all attempts to bar asylum applications on technical procedural grounds:</w:t>
      </w:r>
    </w:p>
    <w:p w14:paraId="0787AC1A" w14:textId="77777777" w:rsidR="00F85AA5" w:rsidRDefault="00F85AA5" w:rsidP="00505FB7">
      <w:pPr>
        <w:tabs>
          <w:tab w:val="left" w:pos="10206"/>
        </w:tabs>
        <w:spacing w:after="140"/>
        <w:ind w:right="652"/>
      </w:pPr>
    </w:p>
    <w:p w14:paraId="78567CA1"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Scalabrini Centre v Minister of Home Affairs (CCT 51/23, December 2023): Sections 22(12) and 22(13) of the Refugees Act (abandonment provisions) declared unconstitutional. Failure to renew a visa cannot result in the abandonment of an asylum application.</w:t>
      </w:r>
    </w:p>
    <w:p w14:paraId="28F836CF"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Scalabrini Centre v Minister of Home Affairs [2026] ZACC 30 (7 July 2026): Sections 4(1)(f), 4(1)(h), 4(1)(i) and 21(1B) declared unconstitutional. Unofficial entry, absence of a transit visa, failure to report within 5 days — NONE of these can bar access to the asylum system.</w:t>
      </w:r>
    </w:p>
    <w:p w14:paraId="555B62AA" w14:textId="77777777" w:rsidR="00B704B0" w:rsidRDefault="00B704B0" w:rsidP="00505FB7">
      <w:pPr>
        <w:tabs>
          <w:tab w:val="left" w:pos="10206"/>
        </w:tabs>
        <w:spacing w:before="200" w:after="100"/>
        <w:ind w:right="652"/>
      </w:pPr>
      <w:r>
        <w:rPr>
          <w:b/>
          <w:bCs/>
          <w:color w:val="1B2A4A"/>
        </w:rPr>
        <w:t>4.9  Socio-Economic Rights: The Right to Work and Dignity</w:t>
      </w:r>
    </w:p>
    <w:p w14:paraId="2DE4E7D4" w14:textId="77777777" w:rsidR="00B704B0" w:rsidRDefault="00B704B0" w:rsidP="00505FB7">
      <w:pPr>
        <w:tabs>
          <w:tab w:val="left" w:pos="10206"/>
        </w:tabs>
        <w:spacing w:after="140"/>
        <w:ind w:right="652"/>
      </w:pPr>
      <w:r>
        <w:t>To prevent destitution during long administrative delays, the right to work is protected. In Watchenuka and Another v Minister of Home Affairs, the court found the prohibition on work or study for asylum seekers to be unconstitutional. This was reinforced in Somali Association of South Africa v Home Affairs (Case 48/2014), where the SCA found “no blanket prohibition against self-employment,” thus protecting the right to trade and apply for licences.</w:t>
      </w:r>
    </w:p>
    <w:p w14:paraId="6DC02A2F" w14:textId="34CC402F" w:rsidR="00B704B0" w:rsidRDefault="00B704B0" w:rsidP="00505FB7">
      <w:pPr>
        <w:tabs>
          <w:tab w:val="left" w:pos="10206"/>
        </w:tabs>
        <w:spacing w:before="280" w:after="120"/>
        <w:ind w:right="652"/>
      </w:pPr>
      <w:r>
        <w:rPr>
          <w:b/>
          <w:bCs/>
          <w:color w:val="1B2A4A"/>
          <w:sz w:val="24"/>
          <w:szCs w:val="24"/>
          <w:u w:val="single"/>
        </w:rPr>
        <w:t xml:space="preserve">5.  LEGAL STATUS OF </w:t>
      </w:r>
      <w:r w:rsidR="001D0FA7">
        <w:rPr>
          <w:b/>
          <w:bCs/>
          <w:color w:val="1B2A4A"/>
          <w:sz w:val="24"/>
          <w:szCs w:val="24"/>
          <w:u w:val="single"/>
        </w:rPr>
        <w:t>[title] [full names]</w:t>
      </w:r>
    </w:p>
    <w:p w14:paraId="001F2F16" w14:textId="77777777" w:rsidR="00B704B0" w:rsidRDefault="00B704B0" w:rsidP="00505FB7">
      <w:pPr>
        <w:tabs>
          <w:tab w:val="left" w:pos="10206"/>
        </w:tabs>
        <w:spacing w:after="140"/>
        <w:ind w:right="652"/>
      </w:pPr>
      <w:r>
        <w:t>In light of the foregoing extensive and settled legal framework, including the Constitutional Court’s landmark judgment of 7 July 2026:</w:t>
      </w:r>
    </w:p>
    <w:p w14:paraId="475E0295" w14:textId="77777777" w:rsidR="00B704B0" w:rsidRDefault="00B704B0" w:rsidP="00505FB7">
      <w:pPr>
        <w:tabs>
          <w:tab w:val="left" w:pos="10206"/>
        </w:tabs>
        <w:spacing w:after="60"/>
        <w:ind w:right="65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308A89A8" w14:textId="77777777" w:rsidTr="005A087D">
        <w:tc>
          <w:tcPr>
            <w:tcW w:w="9360" w:type="dxa"/>
            <w:tcBorders>
              <w:top w:val="single" w:sz="8" w:space="0" w:color="1B2A4A"/>
              <w:left w:val="single" w:sz="24" w:space="0" w:color="1B2A4A"/>
              <w:bottom w:val="single" w:sz="4" w:space="0" w:color="1B2A4A"/>
              <w:right w:val="single" w:sz="4" w:space="0" w:color="D0D0D0"/>
            </w:tcBorders>
            <w:shd w:val="clear" w:color="auto" w:fill="F5F7FA"/>
            <w:tcMar>
              <w:top w:w="140" w:type="dxa"/>
              <w:left w:w="200" w:type="dxa"/>
              <w:bottom w:w="140" w:type="dxa"/>
              <w:right w:w="200" w:type="dxa"/>
            </w:tcMar>
          </w:tcPr>
          <w:p w14:paraId="7C95F2AE" w14:textId="77777777" w:rsidR="00B704B0" w:rsidRDefault="00B704B0" w:rsidP="00505FB7">
            <w:pPr>
              <w:tabs>
                <w:tab w:val="left" w:pos="10206"/>
              </w:tabs>
              <w:spacing w:after="80"/>
              <w:ind w:right="652"/>
            </w:pPr>
            <w:r>
              <w:rPr>
                <w:b/>
                <w:bCs/>
                <w:color w:val="1B2A4A"/>
              </w:rPr>
              <w:t>📌  Summary of Legal Status</w:t>
            </w:r>
          </w:p>
          <w:p w14:paraId="1F8C02A9" w14:textId="63D1C2D6" w:rsidR="00B704B0" w:rsidRDefault="001D0FA7" w:rsidP="00505FB7">
            <w:pPr>
              <w:tabs>
                <w:tab w:val="left" w:pos="10206"/>
              </w:tabs>
              <w:spacing w:after="80"/>
              <w:ind w:right="652"/>
            </w:pPr>
            <w:r>
              <w:rPr>
                <w:color w:val="1A1A1A"/>
                <w:sz w:val="21"/>
                <w:szCs w:val="21"/>
              </w:rPr>
              <w:t>[title] [full names]</w:t>
            </w:r>
            <w:r w:rsidR="00B704B0">
              <w:rPr>
                <w:color w:val="1A1A1A"/>
                <w:sz w:val="21"/>
                <w:szCs w:val="21"/>
              </w:rPr>
              <w:t xml:space="preserve"> has formally expressed their intention to seek asylum in accordance with the DHA’s prescribed procedures. This action has triggered the full and immediate protection of the Refugees Act.</w:t>
            </w:r>
          </w:p>
          <w:p w14:paraId="594ED433" w14:textId="77777777" w:rsidR="00B704B0" w:rsidRDefault="00B704B0" w:rsidP="00505FB7">
            <w:pPr>
              <w:tabs>
                <w:tab w:val="left" w:pos="10206"/>
              </w:tabs>
              <w:spacing w:after="80"/>
              <w:ind w:right="652"/>
            </w:pPr>
            <w:r>
              <w:rPr>
                <w:color w:val="1A1A1A"/>
                <w:sz w:val="21"/>
                <w:szCs w:val="21"/>
              </w:rPr>
              <w:t>They are therefore LAWFULLY PRESENT in the Republic of South Africa until their application is finally determined.</w:t>
            </w:r>
          </w:p>
          <w:p w14:paraId="402F9B51" w14:textId="77777777" w:rsidR="00B704B0" w:rsidRDefault="00B704B0" w:rsidP="00505FB7">
            <w:pPr>
              <w:tabs>
                <w:tab w:val="left" w:pos="10206"/>
              </w:tabs>
              <w:spacing w:after="80"/>
              <w:ind w:right="652"/>
            </w:pPr>
            <w:r>
              <w:rPr>
                <w:color w:val="1A1A1A"/>
                <w:sz w:val="21"/>
                <w:szCs w:val="21"/>
              </w:rPr>
              <w:t>They are absolutely protected by Section 21(4) of the Refugees Act and the binding principle of non-refoulement from arrest, detention, prosecution, or deportation relating to their immigration status.</w:t>
            </w:r>
          </w:p>
          <w:p w14:paraId="7D6656C0" w14:textId="77777777" w:rsidR="00B704B0" w:rsidRDefault="00B704B0" w:rsidP="00505FB7">
            <w:pPr>
              <w:tabs>
                <w:tab w:val="left" w:pos="10206"/>
              </w:tabs>
              <w:spacing w:after="80"/>
              <w:ind w:right="652"/>
            </w:pPr>
            <w:r>
              <w:rPr>
                <w:color w:val="1A1A1A"/>
                <w:sz w:val="21"/>
                <w:szCs w:val="21"/>
              </w:rPr>
              <w:t>They CANNOT be subjected to the transit visa interview process under section 21(1B) — that provision has been declared unconstitutional by the Constitutional Court on 7 July 2026.</w:t>
            </w:r>
          </w:p>
          <w:p w14:paraId="5A1B0C45" w14:textId="77777777" w:rsidR="00B704B0" w:rsidRDefault="00B704B0" w:rsidP="00505FB7">
            <w:pPr>
              <w:tabs>
                <w:tab w:val="left" w:pos="10206"/>
              </w:tabs>
              <w:spacing w:after="80"/>
              <w:ind w:right="652"/>
            </w:pPr>
            <w:r>
              <w:rPr>
                <w:color w:val="1A1A1A"/>
                <w:sz w:val="21"/>
                <w:szCs w:val="21"/>
              </w:rPr>
              <w:t>They CANNOT be excluded from the asylum system on account of how they entered South Africa, whether they had a transit visa, or how long they have been in South Africa before applying.</w:t>
            </w:r>
          </w:p>
          <w:p w14:paraId="5AB28B1B" w14:textId="77777777" w:rsidR="00B704B0" w:rsidRDefault="00B704B0" w:rsidP="00505FB7">
            <w:pPr>
              <w:tabs>
                <w:tab w:val="left" w:pos="10206"/>
              </w:tabs>
              <w:spacing w:after="80"/>
              <w:ind w:right="652"/>
            </w:pPr>
            <w:r>
              <w:rPr>
                <w:color w:val="1A1A1A"/>
                <w:sz w:val="21"/>
                <w:szCs w:val="21"/>
              </w:rPr>
              <w:t>This protection is reinforced by the High Court interdict (Scalabrini, September 2024) prohibiting deportation of any person who has indicated an intention to apply for asylum.</w:t>
            </w:r>
          </w:p>
          <w:p w14:paraId="0E8F750F" w14:textId="77777777" w:rsidR="00B704B0" w:rsidRPr="00362276" w:rsidRDefault="00B704B0" w:rsidP="00505FB7">
            <w:pPr>
              <w:tabs>
                <w:tab w:val="left" w:pos="10206"/>
              </w:tabs>
              <w:spacing w:after="80"/>
              <w:ind w:right="652"/>
              <w:rPr>
                <w:b/>
                <w:bCs/>
              </w:rPr>
            </w:pPr>
            <w:r>
              <w:rPr>
                <w:b/>
                <w:bCs/>
                <w:sz w:val="21"/>
                <w:szCs w:val="21"/>
              </w:rPr>
              <w:t>They will have in their possession a copy of their Declaration of Intention to Apply for Asylum, proof of submission to the DHA, and a copy of this letter.</w:t>
            </w:r>
          </w:p>
        </w:tc>
      </w:tr>
    </w:tbl>
    <w:p w14:paraId="4DCFB744" w14:textId="77777777" w:rsidR="00B704B0" w:rsidRDefault="00B704B0" w:rsidP="00505FB7">
      <w:pPr>
        <w:tabs>
          <w:tab w:val="left" w:pos="10206"/>
        </w:tabs>
        <w:spacing w:after="160"/>
        <w:ind w:right="652"/>
      </w:pPr>
    </w:p>
    <w:p w14:paraId="796F00EB" w14:textId="77777777" w:rsidR="005F4025" w:rsidRDefault="005F4025" w:rsidP="00505FB7">
      <w:pPr>
        <w:tabs>
          <w:tab w:val="left" w:pos="10206"/>
        </w:tabs>
        <w:spacing w:before="280" w:after="120"/>
        <w:ind w:right="652"/>
        <w:rPr>
          <w:b/>
          <w:bCs/>
          <w:color w:val="1B2A4A"/>
          <w:sz w:val="24"/>
          <w:szCs w:val="24"/>
          <w:u w:val="single"/>
        </w:rPr>
      </w:pPr>
    </w:p>
    <w:p w14:paraId="328335C7" w14:textId="77777777" w:rsidR="005F4025" w:rsidRDefault="005F4025" w:rsidP="00505FB7">
      <w:pPr>
        <w:tabs>
          <w:tab w:val="left" w:pos="10206"/>
        </w:tabs>
        <w:spacing w:before="280" w:after="120"/>
        <w:ind w:right="652"/>
        <w:rPr>
          <w:b/>
          <w:bCs/>
          <w:color w:val="1B2A4A"/>
          <w:sz w:val="24"/>
          <w:szCs w:val="24"/>
          <w:u w:val="single"/>
        </w:rPr>
      </w:pPr>
    </w:p>
    <w:p w14:paraId="6EB2D740" w14:textId="77777777" w:rsidR="005F4025" w:rsidRDefault="005F4025" w:rsidP="00505FB7">
      <w:pPr>
        <w:tabs>
          <w:tab w:val="left" w:pos="10206"/>
        </w:tabs>
        <w:spacing w:before="280" w:after="120"/>
        <w:ind w:right="652"/>
        <w:rPr>
          <w:b/>
          <w:bCs/>
          <w:color w:val="1B2A4A"/>
          <w:sz w:val="24"/>
          <w:szCs w:val="24"/>
          <w:u w:val="single"/>
        </w:rPr>
      </w:pPr>
    </w:p>
    <w:p w14:paraId="583C8208" w14:textId="5DF8A8C9" w:rsidR="00B704B0" w:rsidRDefault="00B704B0" w:rsidP="005F4025">
      <w:pPr>
        <w:tabs>
          <w:tab w:val="left" w:pos="10206"/>
        </w:tabs>
        <w:spacing w:before="280" w:after="120"/>
        <w:ind w:right="652"/>
      </w:pPr>
      <w:r>
        <w:rPr>
          <w:b/>
          <w:bCs/>
          <w:color w:val="1B2A4A"/>
          <w:sz w:val="24"/>
          <w:szCs w:val="24"/>
          <w:u w:val="single"/>
        </w:rPr>
        <w:t>6.  CONSOLIDATED REFERENCE TABLE — BINDING COURT AUTHORITIES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B704B0" w14:paraId="6B2B972E"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1B2A4A"/>
            <w:tcMar>
              <w:top w:w="90" w:type="dxa"/>
              <w:left w:w="140" w:type="dxa"/>
              <w:bottom w:w="90" w:type="dxa"/>
              <w:right w:w="80" w:type="dxa"/>
            </w:tcMar>
          </w:tcPr>
          <w:p w14:paraId="24554732" w14:textId="77777777" w:rsidR="00B704B0" w:rsidRDefault="00B704B0" w:rsidP="00505FB7">
            <w:pPr>
              <w:tabs>
                <w:tab w:val="left" w:pos="10206"/>
              </w:tabs>
              <w:ind w:right="652"/>
            </w:pPr>
            <w:r>
              <w:rPr>
                <w:b/>
                <w:bCs/>
                <w:color w:val="FFFFFF"/>
                <w:sz w:val="20"/>
                <w:szCs w:val="20"/>
              </w:rPr>
              <w:t>Case</w:t>
            </w:r>
          </w:p>
        </w:tc>
        <w:tc>
          <w:tcPr>
            <w:tcW w:w="5960" w:type="dxa"/>
            <w:tcBorders>
              <w:top w:val="single" w:sz="4" w:space="0" w:color="D0D0D0"/>
              <w:left w:val="single" w:sz="4" w:space="0" w:color="D0D0D0"/>
              <w:bottom w:val="single" w:sz="4" w:space="0" w:color="D0D0D0"/>
              <w:right w:val="single" w:sz="4" w:space="0" w:color="D0D0D0"/>
            </w:tcBorders>
            <w:shd w:val="clear" w:color="auto" w:fill="1B2A4A"/>
            <w:tcMar>
              <w:top w:w="90" w:type="dxa"/>
              <w:left w:w="140" w:type="dxa"/>
              <w:bottom w:w="90" w:type="dxa"/>
              <w:right w:w="80" w:type="dxa"/>
            </w:tcMar>
          </w:tcPr>
          <w:p w14:paraId="76991E48" w14:textId="77777777" w:rsidR="00B704B0" w:rsidRDefault="00B704B0" w:rsidP="00505FB7">
            <w:pPr>
              <w:tabs>
                <w:tab w:val="left" w:pos="10206"/>
              </w:tabs>
              <w:ind w:right="652"/>
            </w:pPr>
            <w:r>
              <w:rPr>
                <w:b/>
                <w:bCs/>
                <w:color w:val="FFFFFF"/>
                <w:sz w:val="20"/>
                <w:szCs w:val="20"/>
              </w:rPr>
              <w:t>Principle Established</w:t>
            </w:r>
          </w:p>
        </w:tc>
      </w:tr>
      <w:tr w:rsidR="00B704B0" w14:paraId="55C39308"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0253B6A0" w14:textId="77777777" w:rsidR="00B704B0" w:rsidRDefault="00B704B0" w:rsidP="00505FB7">
            <w:pPr>
              <w:tabs>
                <w:tab w:val="left" w:pos="10206"/>
              </w:tabs>
              <w:ind w:right="652"/>
            </w:pPr>
            <w:r>
              <w:rPr>
                <w:b/>
                <w:bCs/>
                <w:sz w:val="18"/>
                <w:szCs w:val="18"/>
              </w:rPr>
              <w:t>Scalabrini v Minister of Home Affairs [2026] ZACC 30  ★ NEW</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6091D5CA" w14:textId="77777777" w:rsidR="00B704B0" w:rsidRDefault="00B704B0" w:rsidP="00505FB7">
            <w:pPr>
              <w:tabs>
                <w:tab w:val="left" w:pos="10206"/>
              </w:tabs>
              <w:ind w:right="652"/>
            </w:pPr>
            <w:r>
              <w:rPr>
                <w:sz w:val="18"/>
                <w:szCs w:val="18"/>
              </w:rPr>
              <w:t xml:space="preserve">Sections 4(1)(f),(h),(i) and 21(1B) unconstitutional. No transit visa, unofficial entry, late reporting or document issue can bar access to the asylum system. Immediate effect from 7 July 2026. </w:t>
            </w:r>
            <w:r>
              <w:rPr>
                <w:b/>
                <w:bCs/>
                <w:sz w:val="18"/>
                <w:szCs w:val="18"/>
              </w:rPr>
              <w:t>The judgment “locked the door” on procedural disqualification (paras 79–81, 107): any provision barring a merits-based assessment for procedural non-compliance is unconstitutional. In terms of Scalabrini, this Applicant is an asylum seeker entitled to the full protection of the Refugees Act.</w:t>
            </w:r>
          </w:p>
        </w:tc>
      </w:tr>
      <w:tr w:rsidR="00B704B0" w14:paraId="1469E40B"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4AEC72EC" w14:textId="77777777" w:rsidR="00B704B0" w:rsidRDefault="00B704B0" w:rsidP="00505FB7">
            <w:pPr>
              <w:tabs>
                <w:tab w:val="left" w:pos="10206"/>
              </w:tabs>
              <w:ind w:right="652"/>
            </w:pPr>
            <w:r>
              <w:rPr>
                <w:sz w:val="18"/>
                <w:szCs w:val="18"/>
              </w:rPr>
              <w:t>Scalabrini v Minister of Home Affairs (CCT 51/23, December 2023)</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6C01997B" w14:textId="77777777" w:rsidR="00B704B0" w:rsidRDefault="00B704B0" w:rsidP="00505FB7">
            <w:pPr>
              <w:tabs>
                <w:tab w:val="left" w:pos="10206"/>
              </w:tabs>
              <w:ind w:right="652"/>
            </w:pPr>
            <w:r>
              <w:rPr>
                <w:sz w:val="18"/>
                <w:szCs w:val="18"/>
              </w:rPr>
              <w:t>Abandonment provisions (sections 22(12) and 22(13)) unconstitutional. Delay in renewing a permit cannot result in deemed abandonment of an asylum application.</w:t>
            </w:r>
          </w:p>
        </w:tc>
      </w:tr>
      <w:tr w:rsidR="00B704B0" w14:paraId="4A3D54A4"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3D5E4440" w14:textId="77777777" w:rsidR="00B704B0" w:rsidRDefault="00B704B0" w:rsidP="00505FB7">
            <w:pPr>
              <w:tabs>
                <w:tab w:val="left" w:pos="10206"/>
              </w:tabs>
              <w:ind w:right="652"/>
            </w:pPr>
            <w:r>
              <w:rPr>
                <w:b/>
                <w:bCs/>
                <w:sz w:val="18"/>
                <w:szCs w:val="18"/>
              </w:rPr>
              <w:t>Western Cape High Court Case 8486/2024 (September 2024)</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646D2550" w14:textId="77777777" w:rsidR="00B704B0" w:rsidRDefault="00B704B0" w:rsidP="00505FB7">
            <w:pPr>
              <w:tabs>
                <w:tab w:val="left" w:pos="10206"/>
              </w:tabs>
              <w:ind w:right="652"/>
            </w:pPr>
            <w:r>
              <w:rPr>
                <w:sz w:val="18"/>
                <w:szCs w:val="18"/>
              </w:rPr>
              <w:t>Interdict: DHA and all state officials prohibited from deporting any person who has indicated an intention to apply for asylum.</w:t>
            </w:r>
          </w:p>
        </w:tc>
      </w:tr>
      <w:tr w:rsidR="00B704B0" w14:paraId="719E5D94"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2DE4E49B" w14:textId="77777777" w:rsidR="00B704B0" w:rsidRDefault="00B704B0" w:rsidP="00505FB7">
            <w:pPr>
              <w:tabs>
                <w:tab w:val="left" w:pos="10206"/>
              </w:tabs>
              <w:ind w:right="652"/>
            </w:pPr>
            <w:r>
              <w:rPr>
                <w:sz w:val="18"/>
                <w:szCs w:val="18"/>
              </w:rPr>
              <w:t>Ashebo v Minister of Home Affairs (CCT/25022, June 2023)</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4122DDA8" w14:textId="77777777" w:rsidR="00B704B0" w:rsidRDefault="00B704B0" w:rsidP="00505FB7">
            <w:pPr>
              <w:tabs>
                <w:tab w:val="left" w:pos="10206"/>
              </w:tabs>
              <w:ind w:right="652"/>
            </w:pPr>
            <w:r>
              <w:rPr>
                <w:sz w:val="18"/>
                <w:szCs w:val="18"/>
              </w:rPr>
              <w:t>Protection is triggered by the intention to apply for asylum, not by holding a permit. Illegal foreigner must be released from detention the moment asylum intention is expressed.</w:t>
            </w:r>
          </w:p>
        </w:tc>
      </w:tr>
      <w:tr w:rsidR="00B704B0" w14:paraId="610837EE"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6378F804" w14:textId="77777777" w:rsidR="00B704B0" w:rsidRDefault="00B704B0" w:rsidP="00505FB7">
            <w:pPr>
              <w:tabs>
                <w:tab w:val="left" w:pos="10206"/>
              </w:tabs>
              <w:ind w:right="652"/>
            </w:pPr>
            <w:r>
              <w:rPr>
                <w:b/>
                <w:bCs/>
                <w:sz w:val="18"/>
                <w:szCs w:val="18"/>
              </w:rPr>
              <w:t>Ruta v Minister of Home Affairs (CCT02/18, 2018)</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32CF9808" w14:textId="77777777" w:rsidR="00B704B0" w:rsidRDefault="00B704B0" w:rsidP="00505FB7">
            <w:pPr>
              <w:tabs>
                <w:tab w:val="left" w:pos="10206"/>
              </w:tabs>
              <w:ind w:right="652"/>
            </w:pPr>
            <w:r>
              <w:rPr>
                <w:sz w:val="18"/>
                <w:szCs w:val="18"/>
              </w:rPr>
              <w:t xml:space="preserve">Delay in applying is not an absolute bar to the asylum process. Refugees Act takes precedence over Immigration Act once asylum intention is expressed. </w:t>
            </w:r>
            <w:r>
              <w:rPr>
                <w:b/>
                <w:bCs/>
                <w:sz w:val="18"/>
                <w:szCs w:val="18"/>
              </w:rPr>
              <w:t>Per para [18]: once intention to apply for asylum is evinced, that person is in law an asylum seeker, entitled as of right to the full protection of the Refugees Act.</w:t>
            </w:r>
          </w:p>
        </w:tc>
      </w:tr>
      <w:tr w:rsidR="00B704B0" w14:paraId="1A7F38A9"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13569B2D" w14:textId="77777777" w:rsidR="00B704B0" w:rsidRDefault="00B704B0" w:rsidP="00505FB7">
            <w:pPr>
              <w:tabs>
                <w:tab w:val="left" w:pos="10206"/>
              </w:tabs>
              <w:ind w:right="652"/>
            </w:pPr>
            <w:r>
              <w:rPr>
                <w:sz w:val="18"/>
                <w:szCs w:val="18"/>
              </w:rPr>
              <w:t>Abore v Minister of Home Affairs (CCT115/21, 2021)</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7C8BCE88" w14:textId="77777777" w:rsidR="00B704B0" w:rsidRDefault="00B704B0" w:rsidP="00505FB7">
            <w:pPr>
              <w:tabs>
                <w:tab w:val="left" w:pos="10206"/>
              </w:tabs>
              <w:ind w:right="652"/>
            </w:pPr>
            <w:r>
              <w:rPr>
                <w:sz w:val="18"/>
                <w:szCs w:val="18"/>
              </w:rPr>
              <w:t>Delay ‘at no stage’ absolutely disqualifies an asylum applicant. Delay is relevant only to credibility assessment.</w:t>
            </w:r>
          </w:p>
        </w:tc>
      </w:tr>
      <w:tr w:rsidR="00B704B0" w14:paraId="0021FE61"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1DAD6B9C" w14:textId="77777777" w:rsidR="00B704B0" w:rsidRDefault="00B704B0" w:rsidP="00505FB7">
            <w:pPr>
              <w:tabs>
                <w:tab w:val="left" w:pos="10206"/>
              </w:tabs>
              <w:ind w:right="652"/>
            </w:pPr>
            <w:r>
              <w:rPr>
                <w:b/>
                <w:bCs/>
                <w:sz w:val="18"/>
                <w:szCs w:val="18"/>
              </w:rPr>
              <w:t>Bula v Minister of Home Affairs (SCA 589/11)</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21060CB3" w14:textId="77777777" w:rsidR="00B704B0" w:rsidRDefault="00B704B0" w:rsidP="00505FB7">
            <w:pPr>
              <w:tabs>
                <w:tab w:val="left" w:pos="10206"/>
              </w:tabs>
              <w:ind w:right="652"/>
            </w:pPr>
            <w:r>
              <w:rPr>
                <w:sz w:val="18"/>
                <w:szCs w:val="18"/>
              </w:rPr>
              <w:t>Once asylum intention is expressed, the applicant is entitled as of right to be released from detention.</w:t>
            </w:r>
          </w:p>
        </w:tc>
      </w:tr>
      <w:tr w:rsidR="00B704B0" w14:paraId="570309EF"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3328906D" w14:textId="77777777" w:rsidR="00B704B0" w:rsidRDefault="00B704B0" w:rsidP="00505FB7">
            <w:pPr>
              <w:tabs>
                <w:tab w:val="left" w:pos="10206"/>
              </w:tabs>
              <w:ind w:right="652"/>
            </w:pPr>
            <w:r>
              <w:rPr>
                <w:sz w:val="18"/>
                <w:szCs w:val="18"/>
              </w:rPr>
              <w:t>Shanko Abraham v Minister of Home Affairs (A5053/2021)</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3639807D" w14:textId="77777777" w:rsidR="00B704B0" w:rsidRDefault="00B704B0" w:rsidP="00505FB7">
            <w:pPr>
              <w:tabs>
                <w:tab w:val="left" w:pos="10206"/>
              </w:tabs>
              <w:ind w:right="652"/>
            </w:pPr>
            <w:r>
              <w:rPr>
                <w:sz w:val="18"/>
                <w:szCs w:val="18"/>
              </w:rPr>
              <w:t>Illegal foreigner who delayed was not barred from applying and was immune from deportation once asylum intention expressed.</w:t>
            </w:r>
          </w:p>
        </w:tc>
      </w:tr>
      <w:tr w:rsidR="00B704B0" w14:paraId="0393573D"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2AA0FD74" w14:textId="77777777" w:rsidR="00B704B0" w:rsidRDefault="00B704B0" w:rsidP="00505FB7">
            <w:pPr>
              <w:tabs>
                <w:tab w:val="left" w:pos="10206"/>
              </w:tabs>
              <w:ind w:right="652"/>
            </w:pPr>
            <w:r>
              <w:rPr>
                <w:b/>
                <w:bCs/>
                <w:sz w:val="18"/>
                <w:szCs w:val="18"/>
              </w:rPr>
              <w:t>Maow v Minister of Home Affairs (January 2025)</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7D2806A1" w14:textId="77777777" w:rsidR="00B704B0" w:rsidRDefault="00B704B0" w:rsidP="00505FB7">
            <w:pPr>
              <w:tabs>
                <w:tab w:val="left" w:pos="10206"/>
              </w:tabs>
              <w:ind w:right="652"/>
            </w:pPr>
            <w:r>
              <w:rPr>
                <w:sz w:val="18"/>
                <w:szCs w:val="18"/>
              </w:rPr>
              <w:t>Absence from DHA database does not prove application was not made. Burden of record-keeping is on the State.</w:t>
            </w:r>
          </w:p>
        </w:tc>
      </w:tr>
      <w:tr w:rsidR="00B704B0" w14:paraId="0BAD2E11"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46865F4E" w14:textId="77777777" w:rsidR="00B704B0" w:rsidRDefault="00B704B0" w:rsidP="00505FB7">
            <w:pPr>
              <w:tabs>
                <w:tab w:val="left" w:pos="10206"/>
              </w:tabs>
              <w:ind w:right="652"/>
            </w:pPr>
            <w:r>
              <w:rPr>
                <w:sz w:val="18"/>
                <w:szCs w:val="18"/>
              </w:rPr>
              <w:t>Ahmed v Minister of Home Affairs (CCT273/17, 2018)</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2C030A41" w14:textId="77777777" w:rsidR="00B704B0" w:rsidRDefault="00B704B0" w:rsidP="00505FB7">
            <w:pPr>
              <w:tabs>
                <w:tab w:val="left" w:pos="10206"/>
              </w:tabs>
              <w:ind w:right="652"/>
            </w:pPr>
            <w:r>
              <w:rPr>
                <w:sz w:val="18"/>
                <w:szCs w:val="18"/>
              </w:rPr>
              <w:t>RRO must issue a Section 22 permit to any asylum applicant pending determination. Both asylum seekers and refugees are protected by the Refugees Act.</w:t>
            </w:r>
          </w:p>
        </w:tc>
      </w:tr>
      <w:tr w:rsidR="00B704B0" w14:paraId="3ABE5C0C"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0DCCFC79" w14:textId="77777777" w:rsidR="00B704B0" w:rsidRDefault="00B704B0" w:rsidP="00505FB7">
            <w:pPr>
              <w:tabs>
                <w:tab w:val="left" w:pos="10206"/>
              </w:tabs>
              <w:ind w:right="652"/>
            </w:pPr>
            <w:r>
              <w:rPr>
                <w:b/>
                <w:bCs/>
                <w:sz w:val="18"/>
                <w:szCs w:val="18"/>
              </w:rPr>
              <w:t>Watchenuka v Minister of Home Affairs</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0BFE6D93" w14:textId="77777777" w:rsidR="00B704B0" w:rsidRDefault="00B704B0" w:rsidP="00505FB7">
            <w:pPr>
              <w:tabs>
                <w:tab w:val="left" w:pos="10206"/>
              </w:tabs>
              <w:ind w:right="652"/>
            </w:pPr>
            <w:r>
              <w:rPr>
                <w:sz w:val="18"/>
                <w:szCs w:val="18"/>
              </w:rPr>
              <w:t>Prohibition on work or study for asylum seekers is unconstitutional.</w:t>
            </w:r>
          </w:p>
        </w:tc>
      </w:tr>
      <w:tr w:rsidR="00B704B0" w14:paraId="435DCD19"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33DE0251" w14:textId="77777777" w:rsidR="00B704B0" w:rsidRDefault="00B704B0" w:rsidP="00505FB7">
            <w:pPr>
              <w:tabs>
                <w:tab w:val="left" w:pos="10206"/>
              </w:tabs>
              <w:ind w:right="652"/>
            </w:pPr>
            <w:r>
              <w:rPr>
                <w:sz w:val="18"/>
                <w:szCs w:val="18"/>
              </w:rPr>
              <w:t>Somali Association of SA v Home Affairs (SCA, Case 48/2014)</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670B9B9D" w14:textId="77777777" w:rsidR="00B704B0" w:rsidRDefault="00B704B0" w:rsidP="00505FB7">
            <w:pPr>
              <w:tabs>
                <w:tab w:val="left" w:pos="10206"/>
              </w:tabs>
              <w:ind w:right="652"/>
            </w:pPr>
            <w:r>
              <w:rPr>
                <w:sz w:val="18"/>
                <w:szCs w:val="18"/>
              </w:rPr>
              <w:t>No blanket prohibition on self-employment. Asylum seekers and refugees are entitled to apply for business and trading licences.</w:t>
            </w:r>
          </w:p>
        </w:tc>
      </w:tr>
    </w:tbl>
    <w:p w14:paraId="27700EA6" w14:textId="77777777" w:rsidR="005F4025" w:rsidRDefault="005F4025" w:rsidP="00505FB7">
      <w:pPr>
        <w:tabs>
          <w:tab w:val="left" w:pos="10206"/>
        </w:tabs>
        <w:spacing w:before="280" w:after="120"/>
        <w:ind w:right="652"/>
        <w:rPr>
          <w:b/>
          <w:bCs/>
          <w:color w:val="1B2A4A"/>
          <w:sz w:val="24"/>
          <w:szCs w:val="24"/>
          <w:u w:val="single"/>
        </w:rPr>
      </w:pPr>
    </w:p>
    <w:p w14:paraId="7CA1551B" w14:textId="77777777" w:rsidR="00B704B0" w:rsidRDefault="00B704B0" w:rsidP="00505FB7">
      <w:pPr>
        <w:tabs>
          <w:tab w:val="left" w:pos="10206"/>
        </w:tabs>
        <w:spacing w:before="280" w:after="120"/>
        <w:ind w:right="652"/>
      </w:pPr>
      <w:r>
        <w:rPr>
          <w:b/>
          <w:bCs/>
          <w:color w:val="1B2A4A"/>
          <w:sz w:val="24"/>
          <w:szCs w:val="24"/>
          <w:u w:val="single"/>
        </w:rPr>
        <w:t>7.  CONCLUSION AND REQUEST</w:t>
      </w:r>
    </w:p>
    <w:p w14:paraId="4C49AD51" w14:textId="0036C536" w:rsidR="00F85AA5" w:rsidRDefault="00B704B0" w:rsidP="00505FB7">
      <w:pPr>
        <w:tabs>
          <w:tab w:val="left" w:pos="10206"/>
        </w:tabs>
        <w:spacing w:after="140"/>
        <w:ind w:right="652"/>
      </w:pPr>
      <w:r>
        <w:t xml:space="preserve">We trust this detailed exposition of the current law — now comprehensively updated to reflect the </w:t>
      </w:r>
    </w:p>
    <w:p w14:paraId="544ADA0E" w14:textId="1FC0511D" w:rsidR="00B704B0" w:rsidRDefault="00B704B0" w:rsidP="00505FB7">
      <w:pPr>
        <w:tabs>
          <w:tab w:val="left" w:pos="10206"/>
        </w:tabs>
        <w:spacing w:after="140"/>
        <w:ind w:right="652"/>
      </w:pPr>
      <w:r>
        <w:t xml:space="preserve">Constitutional Court’s unanimous landmark judgment of 7 July 2026 — is unambiguous. The legal position has been definitively and finally settled at the highest level. No procedural requirement — no transit visa, no border crossing route, no time elapsed since entry — can be used to bar </w:t>
      </w:r>
      <w:r w:rsidR="001D0FA7">
        <w:t>[title] [full names]</w:t>
      </w:r>
      <w:r>
        <w:t>’s right to have their asylum claim assessed on its merits.</w:t>
      </w:r>
    </w:p>
    <w:p w14:paraId="569C2A05" w14:textId="525473EF" w:rsidR="00B704B0" w:rsidRDefault="00B704B0" w:rsidP="00505FB7">
      <w:pPr>
        <w:tabs>
          <w:tab w:val="left" w:pos="10206"/>
        </w:tabs>
        <w:spacing w:after="140"/>
        <w:ind w:right="652"/>
      </w:pPr>
      <w:r>
        <w:t xml:space="preserve">We respectfully request that you </w:t>
      </w:r>
      <w:proofErr w:type="spellStart"/>
      <w:r>
        <w:t>recognise</w:t>
      </w:r>
      <w:proofErr w:type="spellEnd"/>
      <w:r>
        <w:t xml:space="preserve"> </w:t>
      </w:r>
      <w:r w:rsidR="001D0FA7">
        <w:t>[title] [full names]</w:t>
      </w:r>
      <w:r>
        <w:t>’s protected legal status and assist them where necessary. Any action contrary to the clear principles and court orders cited herein — particularly the Constitutional Court’s judgment in Scalabrini v Minister of Home Affairs [2026] ZACC 30 — would be unlawful and subject to immediate legal challenge.</w:t>
      </w:r>
    </w:p>
    <w:p w14:paraId="06148516" w14:textId="77777777" w:rsidR="001C7800" w:rsidRDefault="001C7800" w:rsidP="00505FB7">
      <w:pPr>
        <w:pStyle w:val="ListParagraph"/>
        <w:tabs>
          <w:tab w:val="left" w:pos="10206"/>
        </w:tabs>
        <w:ind w:right="652"/>
      </w:pPr>
    </w:p>
    <w:p w14:paraId="5C42472D" w14:textId="77777777" w:rsidR="00B704B0" w:rsidRPr="00E712C1" w:rsidRDefault="00B704B0" w:rsidP="00361DED">
      <w:pPr>
        <w:tabs>
          <w:tab w:val="left" w:pos="10206"/>
        </w:tabs>
        <w:ind w:right="652"/>
      </w:pPr>
      <w:r>
        <w:t>Should you require any further clarification or wish to verify the status of this applicant’s case, please do not hesitate to contact our offices.</w:t>
      </w:r>
    </w:p>
    <w:p w14:paraId="75B16D4D" w14:textId="77777777" w:rsidR="001C7800" w:rsidRDefault="001C7800" w:rsidP="00505FB7">
      <w:pPr>
        <w:pStyle w:val="ListParagraph"/>
        <w:tabs>
          <w:tab w:val="left" w:pos="10206"/>
        </w:tabs>
        <w:ind w:right="652"/>
      </w:pPr>
    </w:p>
    <w:p w14:paraId="32BB08A7" w14:textId="77777777" w:rsidR="008C76E1" w:rsidRPr="00E712C1" w:rsidRDefault="001D4558" w:rsidP="00361DED">
      <w:pPr>
        <w:tabs>
          <w:tab w:val="left" w:pos="10206"/>
        </w:tabs>
        <w:ind w:right="652"/>
      </w:pPr>
      <w:r>
        <w:t>Our clients action has triggered the full and immediate protection of the Refugees Act. It means our client therefore lawfully present in the Republic of South Africa until his application is finally determined.</w:t>
      </w:r>
    </w:p>
    <w:p w14:paraId="4C47B4E0" w14:textId="77777777" w:rsidR="008C76E1" w:rsidRPr="00E712C1" w:rsidRDefault="008C76E1" w:rsidP="00505FB7">
      <w:pPr>
        <w:pStyle w:val="ListParagraph"/>
        <w:tabs>
          <w:tab w:val="left" w:pos="10206"/>
        </w:tabs>
        <w:ind w:right="652"/>
      </w:pPr>
    </w:p>
    <w:p w14:paraId="75F2D6C7" w14:textId="77777777" w:rsidR="008C76E1" w:rsidRPr="00E712C1" w:rsidRDefault="00E712C1" w:rsidP="00361DED">
      <w:pPr>
        <w:tabs>
          <w:tab w:val="left" w:pos="10206"/>
        </w:tabs>
        <w:ind w:right="652"/>
      </w:pPr>
      <w:r>
        <w:t>Our client is absolutely protected by Section 21(4) of the Refugees Act and the binding principle of non- refoulement from arrest, detention, prosecution, or deportation relating to their immigration status.</w:t>
      </w:r>
    </w:p>
    <w:p w14:paraId="00269598" w14:textId="77777777" w:rsidR="008C76E1" w:rsidRPr="00E712C1" w:rsidRDefault="008C76E1" w:rsidP="00505FB7">
      <w:pPr>
        <w:pStyle w:val="ListParagraph"/>
        <w:tabs>
          <w:tab w:val="left" w:pos="10206"/>
        </w:tabs>
        <w:ind w:right="652"/>
      </w:pPr>
      <w:r>
        <w:t>This protection is reinforced by direct Constitutional Court interdicts prohibiting such actions.</w:t>
      </w:r>
    </w:p>
    <w:p w14:paraId="6345A116" w14:textId="77777777" w:rsidR="008C76E1" w:rsidRPr="00E712C1" w:rsidRDefault="008C76E1" w:rsidP="00505FB7">
      <w:pPr>
        <w:pStyle w:val="ListParagraph"/>
        <w:tabs>
          <w:tab w:val="left" w:pos="10206"/>
        </w:tabs>
        <w:ind w:right="652"/>
      </w:pPr>
    </w:p>
    <w:p w14:paraId="0141C408" w14:textId="77777777" w:rsidR="008C76E1" w:rsidRDefault="00E712C1" w:rsidP="00361DED">
      <w:pPr>
        <w:tabs>
          <w:tab w:val="left" w:pos="10206"/>
        </w:tabs>
        <w:ind w:right="652"/>
      </w:pPr>
      <w:r>
        <w:t>Our clients will have in their possession a copy of their Declaration of Intention to Apply for Asylum, proof of its submission to the DHA, and a copy of this explanatory letter.</w:t>
      </w:r>
    </w:p>
    <w:p w14:paraId="530A0C25" w14:textId="77777777" w:rsidR="00E712C1" w:rsidRPr="00E712C1" w:rsidRDefault="00E712C1" w:rsidP="00505FB7">
      <w:pPr>
        <w:pStyle w:val="ListParagraph"/>
        <w:tabs>
          <w:tab w:val="left" w:pos="10206"/>
        </w:tabs>
        <w:ind w:right="652"/>
      </w:pPr>
    </w:p>
    <w:p w14:paraId="4380CBD9" w14:textId="7F216A15" w:rsidR="008C76E1" w:rsidRDefault="008C76E1" w:rsidP="00361DED">
      <w:pPr>
        <w:tabs>
          <w:tab w:val="left" w:pos="10206"/>
        </w:tabs>
        <w:ind w:right="652"/>
      </w:pPr>
      <w:r>
        <w:t xml:space="preserve">We trust this detailed exposition of the current law is unambiguous. We respectfully request that you </w:t>
      </w:r>
      <w:proofErr w:type="spellStart"/>
      <w:r>
        <w:t>recognise</w:t>
      </w:r>
      <w:proofErr w:type="spellEnd"/>
      <w:r>
        <w:t xml:space="preserve"> </w:t>
      </w:r>
      <w:r w:rsidR="001D0FA7">
        <w:t>[title] [full names]</w:t>
      </w:r>
      <w:r>
        <w:t>’s protected legal status and assist where necessary. Any action contrary to the clear principles and court orders cited herein would be unlawful and subject to legal challenge.</w:t>
      </w:r>
    </w:p>
    <w:p w14:paraId="3F19120F" w14:textId="77777777" w:rsidR="00E712C1" w:rsidRPr="00E712C1" w:rsidRDefault="00E712C1" w:rsidP="00505FB7">
      <w:pPr>
        <w:pStyle w:val="ListParagraph"/>
        <w:tabs>
          <w:tab w:val="left" w:pos="10206"/>
        </w:tabs>
        <w:ind w:right="652"/>
      </w:pPr>
    </w:p>
    <w:p w14:paraId="2626B7DF" w14:textId="3027C17E" w:rsidR="008C76E1" w:rsidRDefault="008C76E1" w:rsidP="005F4025">
      <w:pPr>
        <w:tabs>
          <w:tab w:val="left" w:pos="10206"/>
        </w:tabs>
        <w:ind w:right="652"/>
      </w:pPr>
      <w:r>
        <w:t>Should you require any further clarification, please do not hesitate to contact our offices.</w:t>
      </w:r>
    </w:p>
    <w:p w14:paraId="50385234" w14:textId="77777777" w:rsidR="005F4025" w:rsidRDefault="005F4025" w:rsidP="005F4025">
      <w:pPr>
        <w:tabs>
          <w:tab w:val="left" w:pos="10206"/>
        </w:tabs>
        <w:ind w:left="100" w:right="652"/>
        <w:rPr>
          <w:b/>
        </w:rPr>
      </w:pPr>
    </w:p>
    <w:p w14:paraId="66E355EC" w14:textId="10EEB1CD" w:rsidR="008C76E1" w:rsidRDefault="008C76E1" w:rsidP="005F4025">
      <w:pPr>
        <w:tabs>
          <w:tab w:val="left" w:pos="10206"/>
        </w:tabs>
        <w:ind w:left="100" w:right="652"/>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14:paraId="3A643ABE" w14:textId="77777777" w:rsidR="008C76E1" w:rsidRDefault="008C76E1" w:rsidP="00505FB7">
      <w:pPr>
        <w:tabs>
          <w:tab w:val="left" w:pos="10206"/>
        </w:tabs>
        <w:ind w:left="100" w:right="652"/>
      </w:pPr>
      <w:r>
        <w:rPr>
          <w:b/>
          <w:spacing w:val="-2"/>
        </w:rPr>
        <w:t>Email:</w:t>
      </w:r>
      <w:r>
        <w:rPr>
          <w:b/>
          <w:spacing w:val="-7"/>
        </w:rPr>
        <w:t xml:space="preserve"> </w:t>
      </w:r>
      <w:hyperlink r:id="rId9">
        <w:r>
          <w:rPr>
            <w:b/>
            <w:color w:val="0000FF"/>
            <w:spacing w:val="-2"/>
            <w:u w:val="single" w:color="0000FF"/>
          </w:rPr>
          <w:t>rod@sami.co.za</w:t>
        </w:r>
      </w:hyperlink>
      <w:r>
        <w:rPr>
          <w:b/>
          <w:color w:val="0000FF"/>
          <w:spacing w:val="-4"/>
        </w:rPr>
        <w:t xml:space="preserve"> </w:t>
      </w:r>
      <w:r>
        <w:rPr>
          <w:spacing w:val="-10"/>
        </w:rPr>
        <w:t>,</w:t>
      </w:r>
    </w:p>
    <w:p w14:paraId="322E561A" w14:textId="77777777" w:rsidR="008C76E1" w:rsidRDefault="008C76E1" w:rsidP="00505FB7">
      <w:pPr>
        <w:pStyle w:val="BodyText"/>
        <w:tabs>
          <w:tab w:val="left" w:pos="10206"/>
        </w:tabs>
        <w:ind w:right="652"/>
      </w:pPr>
    </w:p>
    <w:p w14:paraId="36A9FD6F" w14:textId="77777777" w:rsidR="008C76E1" w:rsidRDefault="008C76E1" w:rsidP="00505FB7">
      <w:pPr>
        <w:pStyle w:val="BodyText"/>
        <w:tabs>
          <w:tab w:val="left" w:pos="10206"/>
        </w:tabs>
        <w:ind w:right="652"/>
      </w:pPr>
      <w:r>
        <w:t>Kind</w:t>
      </w:r>
      <w:r>
        <w:rPr>
          <w:spacing w:val="-4"/>
        </w:rPr>
        <w:t xml:space="preserve"> </w:t>
      </w:r>
      <w:r>
        <w:rPr>
          <w:spacing w:val="-2"/>
        </w:rPr>
        <w:t>Regards,</w:t>
      </w:r>
    </w:p>
    <w:p w14:paraId="326C6AEF" w14:textId="77777777" w:rsidR="008C76E1" w:rsidRDefault="008C76E1" w:rsidP="00505FB7">
      <w:pPr>
        <w:pStyle w:val="BodyText"/>
        <w:tabs>
          <w:tab w:val="left" w:pos="10206"/>
        </w:tabs>
        <w:spacing w:before="241"/>
        <w:ind w:right="652"/>
      </w:pPr>
    </w:p>
    <w:p w14:paraId="7AB5EA1A" w14:textId="77777777" w:rsidR="005F4025" w:rsidRDefault="005F4025" w:rsidP="00505FB7">
      <w:pPr>
        <w:pStyle w:val="BodyText"/>
        <w:tabs>
          <w:tab w:val="left" w:pos="10206"/>
        </w:tabs>
        <w:spacing w:before="241"/>
        <w:ind w:right="652"/>
      </w:pPr>
      <w:bookmarkStart w:id="0" w:name="_GoBack"/>
      <w:bookmarkEnd w:id="0"/>
    </w:p>
    <w:p w14:paraId="654D3640" w14:textId="0FEC639B" w:rsidR="00992540" w:rsidRPr="00992540" w:rsidRDefault="00992540" w:rsidP="00505FB7">
      <w:pPr>
        <w:pStyle w:val="BodyText"/>
        <w:tabs>
          <w:tab w:val="left" w:pos="10206"/>
        </w:tabs>
        <w:spacing w:before="241"/>
        <w:ind w:right="652"/>
        <w:rPr>
          <w:b/>
        </w:rPr>
      </w:pPr>
      <w:r>
        <w:t xml:space="preserve"> </w:t>
      </w:r>
      <w:r w:rsidR="005F4025">
        <w:rPr>
          <w:b/>
        </w:rPr>
        <w:t>__________________</w:t>
      </w:r>
    </w:p>
    <w:p w14:paraId="3FAC0889" w14:textId="77777777" w:rsidR="005F4025" w:rsidRDefault="008C76E1" w:rsidP="005F4025">
      <w:pPr>
        <w:tabs>
          <w:tab w:val="left" w:pos="10206"/>
        </w:tabs>
        <w:ind w:left="100" w:right="652"/>
        <w:rPr>
          <w:b/>
        </w:rPr>
      </w:pPr>
      <w:r>
        <w:rPr>
          <w:b/>
        </w:rPr>
        <w:t>Rod</w:t>
      </w:r>
      <w:r>
        <w:rPr>
          <w:b/>
          <w:spacing w:val="-5"/>
        </w:rPr>
        <w:t xml:space="preserve"> </w:t>
      </w:r>
      <w:r>
        <w:rPr>
          <w:b/>
        </w:rPr>
        <w:t>Maxwell</w:t>
      </w:r>
      <w:r>
        <w:rPr>
          <w:b/>
          <w:spacing w:val="-5"/>
        </w:rPr>
        <w:t xml:space="preserve"> </w:t>
      </w:r>
      <w:r>
        <w:rPr>
          <w:b/>
          <w:spacing w:val="-2"/>
        </w:rPr>
        <w:t>(IPSA)</w:t>
      </w:r>
    </w:p>
    <w:p w14:paraId="1027937A" w14:textId="45D05479" w:rsidR="00007A1E" w:rsidRPr="005F4025" w:rsidRDefault="008C76E1" w:rsidP="005F4025">
      <w:pPr>
        <w:tabs>
          <w:tab w:val="left" w:pos="10206"/>
        </w:tabs>
        <w:ind w:left="100" w:right="652"/>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sectPr w:rsidR="00007A1E" w:rsidRPr="005F4025">
      <w:headerReference w:type="even" r:id="rId10"/>
      <w:headerReference w:type="default" r:id="rId11"/>
      <w:footerReference w:type="even" r:id="rId12"/>
      <w:footerReference w:type="default" r:id="rId13"/>
      <w:headerReference w:type="first" r:id="rId14"/>
      <w:footerReference w:type="first" r:id="rId15"/>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845967" w14:textId="77777777" w:rsidR="000A2348" w:rsidRDefault="000A2348">
      <w:r>
        <w:separator/>
      </w:r>
    </w:p>
  </w:endnote>
  <w:endnote w:type="continuationSeparator" w:id="0">
    <w:p w14:paraId="7C1F0A43" w14:textId="77777777" w:rsidR="000A2348" w:rsidRDefault="000A2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C068F8" w14:textId="77777777" w:rsidR="00141CD1" w:rsidRDefault="00141CD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02DAFA" w14:textId="77777777"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14:paraId="4D3A7898" w14:textId="77777777"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14:paraId="57313A55" w14:textId="77777777"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14:paraId="1697A3ED" w14:textId="77777777"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14:paraId="527874CB" w14:textId="77777777"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r>
                            <w:rPr>
                              <w:sz w:val="12"/>
                            </w:rPr>
                            <w:t>Reg</w:t>
                          </w:r>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r>
                            <w:rPr>
                              <w:sz w:val="12"/>
                            </w:rPr>
                            <w:t>IP(SA)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mkqAEAAD8DAAAOAAAAZHJzL2Uyb0RvYy54bWysUsGO2yAQvVfqPyDuDUnqRpUVZ7XtqlWl&#10;VVtpdz8AY4hRDUMZEjt/34E42VV7q/YCAzzemzcz25vJDeyoI1rwDV8tlpxpr6Czft/wp8cv7z5y&#10;hkn6Tg7gdcNPGvnN7u2b7RhqvYYehk5HRiQe6zE0vE8p1EKg6rWTuICgPT0aiE4mOsa96KIcid0N&#10;Yr1cbsQIsQsRlEak27vzI98VfmO0Sj+MQZ3Y0HDKLZU1lrXNq9htZb2PMvRWzWnI/8jCSetJ9Ep1&#10;J5Nkh2j/oXJWRUAwaaHACTDGKl08kJvV8i83D70Munih4mC4lglfj1Z9P/6MzHYNrzjz0lGLHvWU&#10;WphYlYszBqwJ8xAIlaZPMFGTi1EM96B+IUHEC8z5AxI6F2My0eWdbDL6SPU/XWtOIkzR5ftqs958&#10;IHFFb9V6talKU8Tz7xAxfdXgWA4aHqmnJQN5vMeU9WV9gczJnPVzWmlqp9lFC92JTIzU64bj74OM&#10;mrPhm6di5sG4BPEStJcgpuEzlPHJXjzcHhIYW5SzxJl3VqYulYTmicpj8PJcUM9zv/sDAAD//wMA&#10;UEsDBBQABgAIAAAAIQA7tz6U4wAAAA0BAAAPAAAAZHJzL2Rvd25yZXYueG1sTI/BTsMwEETvSPyD&#10;tUjcqEOapmmIU6GiigPi0EKlHrexiSNiO4rd1P17lhPcdnZHs2+qdTQ9m9ToO2cFPM4SYMo2Tna2&#10;FfD5sX0ogPmAVmLvrBJwVR7W9e1NhaV0F7tT0z60jEKsL1GADmEoOfeNVgb9zA3K0u3LjQYDybHl&#10;csQLhZuep0mSc4OdpQ8aB7XRqvnen42Aw2bYvsWjxvdpIV9f0uXuOjZRiPu7+PwELKgY/szwi0/o&#10;UBPTyZ2t9KwnPV/lZKUhW6bUiix5ka2AnWi1mBcZ8Lri/1vUPwAAAP//AwBQSwECLQAUAAYACAAA&#10;ACEAtoM4kv4AAADhAQAAEwAAAAAAAAAAAAAAAAAAAAAAW0NvbnRlbnRfVHlwZXNdLnhtbFBLAQIt&#10;ABQABgAIAAAAIQA4/SH/1gAAAJQBAAALAAAAAAAAAAAAAAAAAC8BAABfcmVscy8ucmVsc1BLAQIt&#10;ABQABgAIAAAAIQA2j/mkqAEAAD8DAAAOAAAAAAAAAAAAAAAAAC4CAABkcnMvZTJvRG9jLnhtbFBL&#10;AQItABQABgAIAAAAIQA7tz6U4wAAAA0BAAAPAAAAAAAAAAAAAAAAAAIEAABkcnMvZG93bnJldi54&#10;bWxQSwUGAAAAAAQABADzAAAAEgUAAAAA&#10;" filled="f" stroked="f">
              <v:path arrowok="t"/>
              <v:textbox inset="0,0,0,0">
                <w:txbxContent>
                  <w:p w14:paraId="4D3A7898" w14:textId="77777777"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14:paraId="57313A55" w14:textId="77777777"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14:paraId="1697A3ED" w14:textId="77777777"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14:paraId="527874CB" w14:textId="77777777"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r>
                      <w:rPr>
                        <w:sz w:val="12"/>
                      </w:rPr>
                      <w:t>Reg</w:t>
                    </w:r>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r>
                      <w:rPr>
                        <w:sz w:val="12"/>
                      </w:rPr>
                      <w:t>IP(SA)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14:paraId="1F873A38" w14:textId="77777777"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14:paraId="21D13D4E" w14:textId="77777777"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nkJqwEAAEYDAAAOAAAAZHJzL2Uyb0RvYy54bWysUsFu2zAMvQ/oPwi6L3YCuO2MOEW3YsOA&#10;YhvQ9gNkWYqFWaIqKrHz96OUOC3WW9GLTJlPj++RXN9MdmB7FdCAa/hyUXKmnITOuG3Dnx6/f77m&#10;DKNwnRjAqYYfFPKbzcWn9ehrtYIehk4FRiQO69E3vI/R10WBsldW4AK8cpTUEKyIdA3bogtiJHY7&#10;FKuyvCxGCJ0PIBUi/b07Jvkm82utZPytNarIhoaTtpjPkM82ncVmLeptEL438iRDvEOFFcZR0TPV&#10;nYiC7YJ5Q2WNDICg40KCLUBrI1X2QG6W5X9uHnrhVfZCzUF/bhN+HK38tf8TmOkaXnHmhKURPaop&#10;tjCxKjVn9FgT5sETKk5fYaIhZ6Po70H+RYIUrzDHB0jo1IxJB5u+ZJPRQ+r/4dxzKsIk/VxdVdWX&#10;klKScqvrq8sq1y1eXvuA8YcCy1LQ8EAzzQrE/h5jqi/qGXISc6yfZMWpnbK75Wymhe5AXkYaecPx&#10;eSeC4mz46ainaT/mIMxBOwchDt8gb1Gy5OB2F0GbLCBVOvKeBNCwsq7TYqVteH3PqJf13/wD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e4nkJqwEAAEYDAAAOAAAAAAAAAAAAAAAAAC4CAABkcnMvZTJvRG9jLnht&#10;bFBLAQItABQABgAIAAAAIQBDkilX4wAAAA4BAAAPAAAAAAAAAAAAAAAAAAUEAABkcnMvZG93bnJl&#10;di54bWxQSwUGAAAAAAQABADzAAAAFQUAAAAA&#10;" filled="f" stroked="f">
              <v:path arrowok="t"/>
              <v:textbox inset="0,0,0,0">
                <w:txbxContent>
                  <w:p w14:paraId="1F873A38" w14:textId="77777777"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14:paraId="21D13D4E" w14:textId="77777777"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FB1909" w14:textId="77777777" w:rsidR="00141CD1" w:rsidRDefault="00141CD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B53157" w14:textId="77777777" w:rsidR="000A2348" w:rsidRDefault="000A2348">
      <w:r>
        <w:separator/>
      </w:r>
    </w:p>
  </w:footnote>
  <w:footnote w:type="continuationSeparator" w:id="0">
    <w:p w14:paraId="022EC580" w14:textId="77777777" w:rsidR="000A2348" w:rsidRDefault="000A23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C4FEF6" w14:textId="77777777" w:rsidR="00141CD1" w:rsidRDefault="00141CD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5E0707" w14:textId="77777777"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34ACBABE" id="Graphic 2" o:spid="_x0000_s1026" style="position:absolute;margin-left:33.8pt;margin-top:117.5pt;width:523.7pt;height:.1pt;z-index:-15835648;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zUUEQIAAF0EAAAOAAAAZHJzL2Uyb0RvYy54bWysVE1v2zAMvQ/YfxB0X+wEW7oacYqhQYcB&#10;RVegKXZWZDk2JouaqNjOvx8lfyTrbsN8EEjxiXrko7y56xvNWuWwBpPz5SLlTBkJRW2OOX/dP3z4&#10;zBl6YQqhwaicnxXyu+37d5vOZmoFFehCOUZJDGadzXnlvc2SBGWlGoELsMpQsATXCE+uOyaFEx1l&#10;b3SyStN10oErrAOpEGl3NwT5NuYvSyX997JE5ZnOOXHzcXVxPYQ12W5EdnTCVrUcaYh/YNGI2tCl&#10;c6qd8IKdXP1XqqaWDhBKv5DQJFCWtVSxBqpmmb6p5qUSVsVaqDlo5zbh/0srn9oX++wCdbSPIH8i&#10;dSTpLGZzJDg4YvrSNQFLxFkfu3ieu6h6zyRtrtef0ttbarak2HJ1E5uciGw6K0/ovyqIeUT7iH7Q&#10;oJgsUU2W7M1kOlIyaKijhp4z0tBxRhoeBg2t8OFcIBdM1l2IhL0GWrWHGPVvmBO1S1Sba9RcylQl&#10;YQcEGeEa6tVgxKvJvi5Om8jiJv0YRwNB18VDrXVgge54uNeOtSIMZvxCHZThD5h16HcCqwGHZwzO&#10;CNRmVGoQJ8h0gOL87FhH85xz/HUSTnGmvxkamDD8k+Em4zAZzut7iE8ktohu3fc/hLMsEMi5J22f&#10;YBpHkU2yheJnbDhp4MvJQ1kHTeMUDYxGh2Y4lji+t/BIrv2IuvwVtr8BAAD//wMAUEsDBBQABgAI&#10;AAAAIQCXBIiG3wAAAAsBAAAPAAAAZHJzL2Rvd25yZXYueG1sTI/BTsMwEETvSPyDtUjcqJOgpijE&#10;qaBSbkiIthIcnXgbR8Tr1HbbwNfjcIHb7s5o9k25nszAzuh8b0lAukiAIbVW9dQJ2O/quwdgPkhS&#10;crCEAr7Qw7q6viploeyF3vC8DR2LIeQLKUCHMBac+1ajkX5hR6SoHawzMsTVdVw5eYnhZuBZkuTc&#10;yJ7iBy1H3GhsP7cnI+Blabx+rbtN7T6+nw8NHd/3q6MQtzfT0yOwgFP4M8OMH9GhikyNPZHybBCQ&#10;r/LoFJDdL2On2ZCm89T8njLgVcn/d6h+AAAA//8DAFBLAQItABQABgAIAAAAIQC2gziS/gAAAOEB&#10;AAATAAAAAAAAAAAAAAAAAAAAAABbQ29udGVudF9UeXBlc10ueG1sUEsBAi0AFAAGAAgAAAAhADj9&#10;If/WAAAAlAEAAAsAAAAAAAAAAAAAAAAALwEAAF9yZWxzLy5yZWxzUEsBAi0AFAAGAAgAAAAhAA/b&#10;NRQRAgAAXQQAAA4AAAAAAAAAAAAAAAAALgIAAGRycy9lMm9Eb2MueG1sUEsBAi0AFAAGAAgAAAAh&#10;AJcEiIbfAAAACwEAAA8AAAAAAAAAAAAAAAAAawQAAGRycy9kb3ducmV2LnhtbFBLBQYAAAAABAAE&#10;APMAAAB3BQAAAAA=&#10;" path="m,l6650990,e" filled="f" strokeweight=".18622mm">
              <v:stroke dashstyle="3 1"/>
              <v:path arrowok="t"/>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D26FAD" w14:textId="77777777" w:rsidR="00141CD1" w:rsidRDefault="00141CD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86743"/>
    <w:multiLevelType w:val="hybridMultilevel"/>
    <w:tmpl w:val="75780A46"/>
    <w:lvl w:ilvl="0" w:tplc="670E1EC4">
      <w:start w:val="1"/>
      <w:numFmt w:val="bullet"/>
      <w:lvlText w:val="•"/>
      <w:lvlJc w:val="left"/>
      <w:pPr>
        <w:ind w:left="560" w:hanging="280"/>
      </w:pPr>
    </w:lvl>
    <w:lvl w:ilvl="1" w:tplc="CD363E22">
      <w:numFmt w:val="decimal"/>
      <w:lvlText w:val=""/>
      <w:lvlJc w:val="left"/>
    </w:lvl>
    <w:lvl w:ilvl="2" w:tplc="F83E2FB2">
      <w:numFmt w:val="decimal"/>
      <w:lvlText w:val=""/>
      <w:lvlJc w:val="left"/>
    </w:lvl>
    <w:lvl w:ilvl="3" w:tplc="46B04E8E">
      <w:numFmt w:val="decimal"/>
      <w:lvlText w:val=""/>
      <w:lvlJc w:val="left"/>
    </w:lvl>
    <w:lvl w:ilvl="4" w:tplc="ECC607EA">
      <w:numFmt w:val="decimal"/>
      <w:lvlText w:val=""/>
      <w:lvlJc w:val="left"/>
    </w:lvl>
    <w:lvl w:ilvl="5" w:tplc="D6B4717A">
      <w:numFmt w:val="decimal"/>
      <w:lvlText w:val=""/>
      <w:lvlJc w:val="left"/>
    </w:lvl>
    <w:lvl w:ilvl="6" w:tplc="EBF6ED58">
      <w:numFmt w:val="decimal"/>
      <w:lvlText w:val=""/>
      <w:lvlJc w:val="left"/>
    </w:lvl>
    <w:lvl w:ilvl="7" w:tplc="035EA13C">
      <w:numFmt w:val="decimal"/>
      <w:lvlText w:val=""/>
      <w:lvlJc w:val="left"/>
    </w:lvl>
    <w:lvl w:ilvl="8" w:tplc="E7AC4DE8">
      <w:numFmt w:val="decimal"/>
      <w:lvlText w:val=""/>
      <w:lvlJc w:val="left"/>
    </w:lvl>
  </w:abstractNum>
  <w:abstractNum w:abstractNumId="1">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2">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3">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4">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5">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4"/>
  </w:num>
  <w:num w:numId="2">
    <w:abstractNumId w:val="3"/>
  </w:num>
  <w:num w:numId="3">
    <w:abstractNumId w:val="1"/>
  </w:num>
  <w:num w:numId="4">
    <w:abstractNumId w:val="2"/>
  </w:num>
  <w:num w:numId="5">
    <w:abstractNumId w:val="5"/>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7A1E"/>
    <w:rsid w:val="000009DB"/>
    <w:rsid w:val="00007A1E"/>
    <w:rsid w:val="00025010"/>
    <w:rsid w:val="000332A1"/>
    <w:rsid w:val="000610E8"/>
    <w:rsid w:val="0006293A"/>
    <w:rsid w:val="00085BC3"/>
    <w:rsid w:val="000A2348"/>
    <w:rsid w:val="000C115D"/>
    <w:rsid w:val="000E2D47"/>
    <w:rsid w:val="000E3E0B"/>
    <w:rsid w:val="001313EC"/>
    <w:rsid w:val="00141CD1"/>
    <w:rsid w:val="00160BE5"/>
    <w:rsid w:val="00184F34"/>
    <w:rsid w:val="001C7800"/>
    <w:rsid w:val="001D0FA7"/>
    <w:rsid w:val="001D4558"/>
    <w:rsid w:val="00255154"/>
    <w:rsid w:val="002934E8"/>
    <w:rsid w:val="002947D8"/>
    <w:rsid w:val="002F5CFE"/>
    <w:rsid w:val="003345E3"/>
    <w:rsid w:val="00361DED"/>
    <w:rsid w:val="00362276"/>
    <w:rsid w:val="003D66D8"/>
    <w:rsid w:val="003F13D7"/>
    <w:rsid w:val="003F2F10"/>
    <w:rsid w:val="00435481"/>
    <w:rsid w:val="00436CF9"/>
    <w:rsid w:val="0045544B"/>
    <w:rsid w:val="00470BEB"/>
    <w:rsid w:val="00491DDC"/>
    <w:rsid w:val="004B5694"/>
    <w:rsid w:val="004E1DE3"/>
    <w:rsid w:val="004F3668"/>
    <w:rsid w:val="00503826"/>
    <w:rsid w:val="00505FB7"/>
    <w:rsid w:val="005166F1"/>
    <w:rsid w:val="00517573"/>
    <w:rsid w:val="00555B94"/>
    <w:rsid w:val="00564F89"/>
    <w:rsid w:val="005908CF"/>
    <w:rsid w:val="005972FB"/>
    <w:rsid w:val="005A714E"/>
    <w:rsid w:val="005A76C4"/>
    <w:rsid w:val="005E2539"/>
    <w:rsid w:val="005F01BE"/>
    <w:rsid w:val="005F4025"/>
    <w:rsid w:val="00626BCF"/>
    <w:rsid w:val="00631FAC"/>
    <w:rsid w:val="00670FF6"/>
    <w:rsid w:val="006714DC"/>
    <w:rsid w:val="00672200"/>
    <w:rsid w:val="00675958"/>
    <w:rsid w:val="00686BB8"/>
    <w:rsid w:val="006B49F6"/>
    <w:rsid w:val="006D05D6"/>
    <w:rsid w:val="00717A35"/>
    <w:rsid w:val="00753824"/>
    <w:rsid w:val="0079409A"/>
    <w:rsid w:val="00794862"/>
    <w:rsid w:val="007A4CBA"/>
    <w:rsid w:val="007B379F"/>
    <w:rsid w:val="007F7058"/>
    <w:rsid w:val="00813C0B"/>
    <w:rsid w:val="008331E4"/>
    <w:rsid w:val="008613EE"/>
    <w:rsid w:val="00863471"/>
    <w:rsid w:val="0086593D"/>
    <w:rsid w:val="00880CF5"/>
    <w:rsid w:val="00883FBD"/>
    <w:rsid w:val="00891B90"/>
    <w:rsid w:val="008C2580"/>
    <w:rsid w:val="008C3805"/>
    <w:rsid w:val="008C6F28"/>
    <w:rsid w:val="008C76E1"/>
    <w:rsid w:val="008D32EA"/>
    <w:rsid w:val="008D7F80"/>
    <w:rsid w:val="00905BD9"/>
    <w:rsid w:val="009214D0"/>
    <w:rsid w:val="00923154"/>
    <w:rsid w:val="00960901"/>
    <w:rsid w:val="00975317"/>
    <w:rsid w:val="00992540"/>
    <w:rsid w:val="009A19FD"/>
    <w:rsid w:val="009E12C2"/>
    <w:rsid w:val="009F40C1"/>
    <w:rsid w:val="00A1247B"/>
    <w:rsid w:val="00A37973"/>
    <w:rsid w:val="00A65AA9"/>
    <w:rsid w:val="00A76AF3"/>
    <w:rsid w:val="00A96A42"/>
    <w:rsid w:val="00AA37FF"/>
    <w:rsid w:val="00B05E2F"/>
    <w:rsid w:val="00B36045"/>
    <w:rsid w:val="00B4775E"/>
    <w:rsid w:val="00B65A22"/>
    <w:rsid w:val="00B704B0"/>
    <w:rsid w:val="00B8672D"/>
    <w:rsid w:val="00BA0F3A"/>
    <w:rsid w:val="00BB5638"/>
    <w:rsid w:val="00C06E41"/>
    <w:rsid w:val="00C228C4"/>
    <w:rsid w:val="00C32FFD"/>
    <w:rsid w:val="00CC3BA3"/>
    <w:rsid w:val="00D45B46"/>
    <w:rsid w:val="00D67116"/>
    <w:rsid w:val="00D771B6"/>
    <w:rsid w:val="00D961F0"/>
    <w:rsid w:val="00DA694A"/>
    <w:rsid w:val="00DE2074"/>
    <w:rsid w:val="00E02D4F"/>
    <w:rsid w:val="00E03D9F"/>
    <w:rsid w:val="00E108AB"/>
    <w:rsid w:val="00E1452E"/>
    <w:rsid w:val="00E148A8"/>
    <w:rsid w:val="00E40FAE"/>
    <w:rsid w:val="00E55E0F"/>
    <w:rsid w:val="00E651F4"/>
    <w:rsid w:val="00E712C1"/>
    <w:rsid w:val="00EC39B4"/>
    <w:rsid w:val="00EC53ED"/>
    <w:rsid w:val="00EF7B01"/>
    <w:rsid w:val="00F17BEF"/>
    <w:rsid w:val="00F263D1"/>
    <w:rsid w:val="00F55FDD"/>
    <w:rsid w:val="00F660B3"/>
    <w:rsid w:val="00F67071"/>
    <w:rsid w:val="00F85AA5"/>
    <w:rsid w:val="00F90ABF"/>
    <w:rsid w:val="00F973DF"/>
    <w:rsid w:val="00FA44FE"/>
    <w:rsid w:val="00FC6667"/>
    <w:rsid w:val="00FD1B10"/>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88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2291058">
      <w:bodyDiv w:val="1"/>
      <w:marLeft w:val="0"/>
      <w:marRight w:val="0"/>
      <w:marTop w:val="0"/>
      <w:marBottom w:val="0"/>
      <w:divBdr>
        <w:top w:val="none" w:sz="0" w:space="0" w:color="auto"/>
        <w:left w:val="none" w:sz="0" w:space="0" w:color="auto"/>
        <w:bottom w:val="none" w:sz="0" w:space="0" w:color="auto"/>
        <w:right w:val="none" w:sz="0" w:space="0" w:color="auto"/>
      </w:divBdr>
      <w:divsChild>
        <w:div w:id="1394350992">
          <w:marLeft w:val="0"/>
          <w:marRight w:val="0"/>
          <w:marTop w:val="0"/>
          <w:marBottom w:val="0"/>
          <w:divBdr>
            <w:top w:val="none" w:sz="0" w:space="0" w:color="auto"/>
            <w:left w:val="none" w:sz="0" w:space="0" w:color="auto"/>
            <w:bottom w:val="none" w:sz="0" w:space="0" w:color="auto"/>
            <w:right w:val="none" w:sz="0" w:space="0" w:color="auto"/>
          </w:divBdr>
          <w:divsChild>
            <w:div w:id="14092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647519">
      <w:bodyDiv w:val="1"/>
      <w:marLeft w:val="0"/>
      <w:marRight w:val="0"/>
      <w:marTop w:val="0"/>
      <w:marBottom w:val="0"/>
      <w:divBdr>
        <w:top w:val="none" w:sz="0" w:space="0" w:color="auto"/>
        <w:left w:val="none" w:sz="0" w:space="0" w:color="auto"/>
        <w:bottom w:val="none" w:sz="0" w:space="0" w:color="auto"/>
        <w:right w:val="none" w:sz="0" w:space="0" w:color="auto"/>
      </w:divBdr>
      <w:divsChild>
        <w:div w:id="518398384">
          <w:marLeft w:val="0"/>
          <w:marRight w:val="0"/>
          <w:marTop w:val="0"/>
          <w:marBottom w:val="0"/>
          <w:divBdr>
            <w:top w:val="none" w:sz="0" w:space="0" w:color="auto"/>
            <w:left w:val="none" w:sz="0" w:space="0" w:color="auto"/>
            <w:bottom w:val="none" w:sz="0" w:space="0" w:color="auto"/>
            <w:right w:val="none" w:sz="0" w:space="0" w:color="auto"/>
          </w:divBdr>
          <w:divsChild>
            <w:div w:id="177308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rod@sami.co.za"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7C922E-02C0-4552-8A33-59F22DA57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4122</Words>
  <Characters>23496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27563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4</cp:revision>
  <cp:lastPrinted>2026-08-06T16:03:00Z</cp:lastPrinted>
  <dcterms:created xsi:type="dcterms:W3CDTF">2026-08-07T08:53:00Z</dcterms:created>
  <dcterms:modified xsi:type="dcterms:W3CDTF">2026-08-11T10:26:00Z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