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Number One · ForgeAlloy 美国大B买家开发计划</w:t>
      </w:r>
    </w:p>
    <w:p>
      <w:pPr>
        <w:jc w:val="right"/>
      </w:pPr>
      <w:r>
        <w:t>交付日期：2026-06-01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目标客户 1: Wheels Boutique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微软雅黑" w:hAnsi="微软雅黑" w:eastAsia="微软雅黑"/>
                <w:sz w:val="20"/>
              </w:rPr>
              <w:t>定位：超跑/豪华车定制中心。联系人：Ben Bermudez。核心痛点：一线品牌交期过长（16-20周）。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WB 专属开发信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Subject: 30-Day Lead Time for [Shop Name]’s Custom Forged Builds... (见正文，主打30天极速交付与WB私模定制)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WB 开发策略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微软雅黑" w:hAnsi="微软雅黑" w:eastAsia="微软雅黑"/>
                <w:sz w:val="20"/>
              </w:rPr>
              <w:t>利用‘White Label’方案切入，承诺比其现有供应商缩短70%交期，解决急单流失问题。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目标客户 2: Wheel Specialists Inc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定位：硬派越野/皮卡改装巨头。联系人：Lenny Stahl。核心痛点：大尺寸轮毂载荷与负值ET的安全性疑虑。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WSI 专属开发信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微软雅黑" w:hAnsi="微软雅黑" w:eastAsia="微软雅黑"/>
                <w:sz w:val="20"/>
              </w:rPr>
              <w:t>Subject: 2500KG+ Load-Rated Forged Wheels for WSI’s Heavy-Duty Builds... (主打2500KG+高载荷与SAE认证)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WSI 开发策略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提供载荷测试报告原件，对标亚利桑那州沙漠越野场景，强调航空铝10,000吨锻压的极致强度。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目标客户 3: Apex Wheels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微软雅黑" w:hAnsi="微软雅黑" w:eastAsia="微软雅黑"/>
                <w:sz w:val="20"/>
              </w:rPr>
              <w:t>定位：赛道竞技专家。联系人：Eddy Pintacsi。核心痛点：旋压转锻造过程中的打样成本与工程配合。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Apex 专属开发信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Subject: Rapid Prototyping Partner for Apex’s New Forged Series... (主打15天出样与竞技级CNC减重工艺)</w:t>
            </w:r>
          </w:p>
        </w:tc>
      </w:tr>
      <w:tr>
        <w:tc>
          <w:tcPr>
            <w:tcW w:type="dxa" w:w="4320"/>
            <w:shd w:fill="1F497D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</w:rPr>
              <w:t>Apex 开发策略</w:t>
            </w:r>
          </w:p>
        </w:tc>
        <w:tc>
          <w:tcPr>
            <w:tcW w:type="dxa" w:w="4320"/>
            <w:shd w:fill="F7F7F7"/>
          </w:tcPr>
          <w:p>
            <w:r>
              <w:rPr>
                <w:rFonts w:ascii="微软雅黑" w:hAnsi="微软雅黑" w:eastAsia="微软雅黑"/>
                <w:sz w:val="20"/>
              </w:rPr>
              <w:t>定位为‘快速原型开发伙伴’，利用MOQ优势协助其开发新款竞技车型（如M2/Tesla）专属数据。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