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Number One · ForgeAlloy_Alibaba_Store_Audit 审计报告</w:t>
      </w:r>
    </w:p>
    <w:p>
      <w:pPr>
        <w:jc w:val="right"/>
      </w:pPr>
      <w:r>
        <w:t>日期：2026-05-28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品牌视觉审计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1"/>
              </w:rPr>
              <w:t>采用高饱和度赛车红/工业黑/极致白方案，Banner通过万吨压机仓储图强调“重型制造”背书。整体调性：高性能、竞技级、厂家直供。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产品力核心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材质采用航空级 A6061-T6，工艺标配万吨高压锻造。产品线深度极高，覆盖15-32寸单片/双片/三片式及越野/皮卡专用轮毂。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权威背书审计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1"/>
              </w:rPr>
              <w:t>具备 TUV (德国)、DOT (美国)、VIA/JWL (日本) 及 SAE J2530 等全主流市场准入认证，满足大B买家对合法性与安全性的极高门槛。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定制服务深度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核心竞争优势在于“全维度定制（PCD/ET/Finish/CNC刻标）”及“免费工程设计”，交期控制在30天左右，具备承接OEM/ODM项目的扎实底座。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品牌定位 SWOT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1"/>
              </w:rPr>
              <w:t>优势：技术底蕴深厚、认证齐备、视觉冲击力强。劣势：详情页标题关键词堆砌降低高端感、工厂动态展示（如检测视频）分散、缺乏独立的经销商计划页面。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行业大B画像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重点获取：(1) 中高端改装连锁店 (2) 区域性轮毂分销商 (3) 拥有设计能力的品牌运营商 (4) 皮卡/越野俱乐部。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大B获客策略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1"/>
              </w:rPr>
              <w:t>实施“设计先行”策略：以“免费3D渲染/车型匹配模拟”为钩子转化询盘。建立“Wholesale/Dealer”分级代理计划，提供阶梯价格与市场支持。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转化优化路径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优化“SEO至EEO”：缩短冗长标题，强化品牌系列感。增加“生产实录”短视频Feed，展示动平衡检测、漏气检测等品控环节，消除大B买家对质量稳定性的顾虑。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近期行动建议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1"/>
              </w:rPr>
              <w:t>立即在店铺首页增设“全球认证与检测”静态页面；重构产品分类导航增加“Dealer Wanted”入口；制作1条关于“10,000 Ton Forging Process”的品牌宣传片置顶。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