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97D"/>
          <w:sz w:val="32"/>
        </w:rPr>
        <w:t>Brand Positioning Strategy: City View Door &amp;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Brand Identity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City View (Shandong City View Door &amp; Window Co., Ltd.)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Core Positioning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Architectural Visionary: Specializing in high-performance, slim-frame urban window systems.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Target Audience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Architects, High-end Developers, and Homeowners seeking panoramic aesthetics.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Value Proposition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'Boundless Vision, Structural Excellence' - Seamlessly merging interiors with urban landscapes.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Technical Edge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T6063 Aviation Aluminum, multi-cavity thermal break, and 2.0mm+ wall thickness for extreme wind resistance.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Design Philosophy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Minimalist Aesthetics: Maximizing natural light while maintaining superior acoustic and thermal insulation.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Service Standard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The 30-Day Project Cycle: From custom drawing to export-ready delivery.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Global Strategy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Focusing on North America and Oceania markets with DOT/FMVSS-level compliance standards.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Product Hook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21mm Ultra-Slim Frame Series: Grade 5 storm-proof rating with unobstructed 270-degree views.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