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120"/>
      </w:pPr>
      <w:r>
        <w:rPr>
          <w:b w:val="0"/>
        </w:rPr>
        <w:t>DSH NEONFORGE / SYSTEM DESIGN</w:t>
      </w:r>
    </w:p>
    <w:p>
      <w:pPr>
        <w:pStyle w:val="Subtitle"/>
        <w:spacing w:after="120"/>
      </w:pPr>
      <w:r>
        <w:rPr>
          <w:b w:val="0"/>
          <w:color w:val="24303A"/>
        </w:rPr>
        <w:t>后朋克 · 杂志拼贴式的赛博控制台｜从参考稿到 DSH 基础组件的可控适配</w:t>
      </w:r>
    </w:p>
    <w:p>
      <w:pPr>
        <w:spacing w:after="120"/>
      </w:pPr>
      <w:r>
        <w:rPr>
          <w:b/>
          <w:color w:val="8FA3A6"/>
        </w:rPr>
        <w:t>STATUS / DESIGN-READY    SCOPE / DSH BASE UI ONLY    REV / 2026-08-31</w:t>
      </w:r>
    </w:p>
    <w:p>
      <w:pPr>
        <w:pStyle w:val="Heading1"/>
        <w:spacing w:after="120"/>
      </w:pPr>
      <w:r>
        <w:rPr>
          <w:b w:val="0"/>
        </w:rPr>
        <w:t>01 设计结论</w:t>
      </w:r>
    </w:p>
    <w:p>
      <w:pPr>
        <w:spacing w:after="120"/>
      </w:pPr>
      <w:r>
        <w:rPr>
          <w:b w:val="0"/>
        </w:rPr>
        <w:t>这不是典型霓虹赛博朋克，而是“后朋克 / 杂志拼贴式的赛博控制台”：深色工业底、荧光油墨、硬阴影、轻微错位、终端标签和实时状态信号。实现策略是保留 DSH 原有三栏布局、路由、交互和插件槽位，只在主题层与少量稳定语义标记上叠加 Neonforge 视觉。</w:t>
      </w:r>
    </w:p>
    <w:p>
      <w:pPr>
        <w:pStyle w:val="Heading2"/>
        <w:spacing w:after="120"/>
      </w:pPr>
      <w:r>
        <w:rPr>
          <w:b w:val="0"/>
        </w:rPr>
        <w:t>核心原则</w:t>
      </w:r>
    </w:p>
    <w:p>
      <w:pPr>
        <w:spacing w:after="120"/>
      </w:pPr>
      <w:r>
        <w:rPr>
          <w:b w:val="0"/>
        </w:rPr>
        <w:t>结构不变：sidebar / conversation / details 三列和现有折叠、拖拽逻辑不改。</w:t>
      </w:r>
    </w:p>
    <w:p>
      <w:pPr>
        <w:spacing w:after="120"/>
      </w:pPr>
      <w:r>
        <w:rPr>
          <w:b w:val="0"/>
        </w:rPr>
        <w:t>风格可撤销：所有规则挂在 body[data-dsh-neonforge] 下，插件卸载即恢复。</w:t>
      </w:r>
    </w:p>
    <w:p>
      <w:pPr>
        <w:spacing w:after="120"/>
      </w:pPr>
      <w:r>
        <w:rPr>
          <w:b w:val="0"/>
        </w:rPr>
        <w:t>语义优先：通过 data-neonforge-* 标记定位基础组件，不依赖脆弱 DOM 层级。</w:t>
      </w:r>
    </w:p>
    <w:p>
      <w:pPr>
        <w:spacing w:after="120"/>
      </w:pPr>
      <w:r>
        <w:rPr>
          <w:b w:val="0"/>
        </w:rPr>
        <w:t>可读性优先：正文使用雾灰而非纯白；酸绿只用于主动作和当前状态；代码块降低亮度。</w:t>
      </w:r>
    </w:p>
    <w:p>
      <w:pPr>
        <w:pStyle w:val="Heading1"/>
        <w:spacing w:after="120"/>
      </w:pPr>
      <w:r>
        <w:rPr>
          <w:b w:val="0"/>
        </w:rPr>
        <w:t>02 视觉语言逆向拆解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维度</w:t>
            </w:r>
          </w:p>
        </w:tc>
        <w:tc>
          <w:tcPr>
            <w:tcW w:type="dxa" w:w="3408"/>
          </w:tcPr>
          <w:p>
            <w:r>
              <w:t>参考稿观察</w:t>
            </w:r>
          </w:p>
        </w:tc>
        <w:tc>
          <w:tcPr>
            <w:tcW w:type="dxa" w:w="3408"/>
          </w:tcPr>
          <w:p>
            <w:r>
              <w:t>DSH 落地规则</w:t>
            </w:r>
          </w:p>
        </w:tc>
      </w:tr>
      <w:tr>
        <w:tc>
          <w:tcPr>
            <w:tcW w:type="dxa" w:w="3408"/>
            <w:vAlign w:val="center"/>
          </w:tcPr>
          <w:p>
            <w:r>
              <w:t>色彩</w:t>
            </w:r>
          </w:p>
        </w:tc>
        <w:tc>
          <w:tcPr>
            <w:tcW w:type="dxa" w:w="3408"/>
            <w:vAlign w:val="center"/>
          </w:tcPr>
          <w:p>
            <w:r>
              <w:t>黑 / 荧光酸绿 / 电蓝 / 青色，像荧光油墨叠印</w:t>
            </w:r>
          </w:p>
        </w:tc>
        <w:tc>
          <w:tcPr>
            <w:tcW w:type="dxa" w:w="3408"/>
            <w:vAlign w:val="center"/>
          </w:tcPr>
          <w:p>
            <w:r>
              <w:t>canvas #080B10；surface #111720；action #C8FF3D；signal #47E3D2；blue #5C76FF</w:t>
            </w:r>
          </w:p>
        </w:tc>
      </w:tr>
      <w:tr>
        <w:tc>
          <w:tcPr>
            <w:tcW w:type="dxa" w:w="3408"/>
            <w:vAlign w:val="center"/>
          </w:tcPr>
          <w:p>
            <w:r>
              <w:t>形状</w:t>
            </w:r>
          </w:p>
        </w:tc>
        <w:tc>
          <w:tcPr>
            <w:tcW w:type="dxa" w:w="3408"/>
            <w:vAlign w:val="center"/>
          </w:tcPr>
          <w:p>
            <w:r>
              <w:t>卡片边缘略有切角，矩形为主，圆角克制</w:t>
            </w:r>
          </w:p>
        </w:tc>
        <w:tc>
          <w:tcPr>
            <w:tcW w:type="dxa" w:w="3408"/>
            <w:vAlign w:val="center"/>
          </w:tcPr>
          <w:p>
            <w:r>
              <w:t>radius 4–10px；ticket 使用 clip-path；主按钮保留 4px 圆角</w:t>
            </w:r>
          </w:p>
        </w:tc>
      </w:tr>
      <w:tr>
        <w:tc>
          <w:tcPr>
            <w:tcW w:type="dxa" w:w="3408"/>
            <w:vAlign w:val="center"/>
          </w:tcPr>
          <w:p>
            <w:r>
              <w:t>层次</w:t>
            </w:r>
          </w:p>
        </w:tc>
        <w:tc>
          <w:tcPr>
            <w:tcW w:type="dxa" w:w="3408"/>
            <w:vAlign w:val="center"/>
          </w:tcPr>
          <w:p>
            <w:r>
              <w:t>底色、抬升面、硬阴影形成纸片叠层</w:t>
            </w:r>
          </w:p>
        </w:tc>
        <w:tc>
          <w:tcPr>
            <w:tcW w:type="dxa" w:w="3408"/>
            <w:vAlign w:val="center"/>
          </w:tcPr>
          <w:p>
            <w:r>
              <w:t>raised #18212C；主选中项 5–6px 电蓝硬阴影；避免大面积 blur</w:t>
            </w:r>
          </w:p>
        </w:tc>
      </w:tr>
      <w:tr>
        <w:tc>
          <w:tcPr>
            <w:tcW w:type="dxa" w:w="3408"/>
            <w:vAlign w:val="center"/>
          </w:tcPr>
          <w:p>
            <w:r>
              <w:t>纹理</w:t>
            </w:r>
          </w:p>
        </w:tc>
        <w:tc>
          <w:tcPr>
            <w:tcW w:type="dxa" w:w="3408"/>
            <w:vAlign w:val="center"/>
          </w:tcPr>
          <w:p>
            <w:r>
              <w:t>点阵、扫描线、工业噪点作为环境，不干扰内容</w:t>
            </w:r>
          </w:p>
        </w:tc>
        <w:tc>
          <w:tcPr>
            <w:tcW w:type="dxa" w:w="3408"/>
            <w:vAlign w:val="center"/>
          </w:tcPr>
          <w:p>
            <w:r>
              <w:t>frame/sidebar 使用低透明度 radial-gradient；内容区不铺纹理</w:t>
            </w:r>
          </w:p>
        </w:tc>
      </w:tr>
      <w:tr>
        <w:tc>
          <w:tcPr>
            <w:tcW w:type="dxa" w:w="3408"/>
            <w:vAlign w:val="center"/>
          </w:tcPr>
          <w:p>
            <w:r>
              <w:t>字形</w:t>
            </w:r>
          </w:p>
        </w:tc>
        <w:tc>
          <w:tcPr>
            <w:tcW w:type="dxa" w:w="3408"/>
            <w:vAlign w:val="center"/>
          </w:tcPr>
          <w:p>
            <w:r>
              <w:t>几何无衬线 + 终端标签 / 大写状态字</w:t>
            </w:r>
          </w:p>
        </w:tc>
        <w:tc>
          <w:tcPr>
            <w:tcW w:type="dxa" w:w="3408"/>
            <w:vAlign w:val="center"/>
          </w:tcPr>
          <w:p>
            <w:r>
              <w:t>系统无衬线正文；状态标签使用等宽字体、字距 0.12em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03 DSH 组件映射</w:t>
      </w:r>
    </w:p>
    <w:p>
      <w:pPr>
        <w:pStyle w:val="Heading2"/>
        <w:spacing w:after="120"/>
      </w:pPr>
      <w:r>
        <w:rPr>
          <w:b w:val="0"/>
        </w:rPr>
        <w:t>AppFrame / 三栏壳层</w:t>
      </w:r>
    </w:p>
    <w:p>
      <w:pPr>
        <w:spacing w:after="120"/>
      </w:pPr>
      <w:r>
        <w:rPr>
          <w:b w:val="0"/>
        </w:rPr>
        <w:t>保留官方 grid-template-columns 与响应式收缩。插件在稳定容器上加 frame、sidebar、conversation、details 标记，CSS 只改背景、分隔线和局部层次。</w:t>
      </w:r>
    </w:p>
    <w:p>
      <w:pPr>
        <w:pStyle w:val="Heading2"/>
        <w:spacing w:after="120"/>
      </w:pPr>
      <w:r>
        <w:rPr>
          <w:b w:val="0"/>
        </w:rPr>
        <w:t>WorkspaceBrowser / 工作区</w:t>
      </w:r>
    </w:p>
    <w:p>
      <w:pPr>
        <w:spacing w:after="120"/>
      </w:pPr>
      <w:r>
        <w:rPr>
          <w:b w:val="0"/>
        </w:rPr>
        <w:t>工作区文件夹是信息架构锚点：普通态为深色条带；展开或选中时升为 raised card，酸绿边框 + 青色左脊 + 电蓝硬阴影。会话 ticket 采用轻微错切角，选中态使用酸绿底和深色字。</w:t>
      </w:r>
    </w:p>
    <w:p>
      <w:pPr>
        <w:pStyle w:val="Heading2"/>
        <w:spacing w:after="120"/>
      </w:pPr>
      <w:r>
        <w:rPr>
          <w:b w:val="0"/>
        </w:rPr>
        <w:t>InputBar / 输入区</w:t>
      </w:r>
    </w:p>
    <w:p>
      <w:pPr>
        <w:spacing w:after="120"/>
      </w:pPr>
      <w:r>
        <w:rPr>
          <w:b w:val="0"/>
        </w:rPr>
        <w:t>使用深色 composer card，不用白底；青色描边表达焦点，电蓝下偏移形成纸片叠层。权限、模型选择、附件和发送按钮均为方形/小圆角，主发送按钮为酸绿圆角方块。</w:t>
      </w:r>
    </w:p>
    <w:p>
      <w:pPr>
        <w:pStyle w:val="Heading2"/>
        <w:spacing w:after="120"/>
      </w:pPr>
      <w:r>
        <w:rPr>
          <w:b w:val="0"/>
        </w:rPr>
        <w:t>Conversation / 消息</w:t>
      </w:r>
    </w:p>
    <w:p>
      <w:pPr>
        <w:spacing w:after="120"/>
      </w:pPr>
      <w:r>
        <w:rPr>
          <w:b w:val="0"/>
        </w:rPr>
        <w:t>正文为 #D5E1DD，次要元信息为 #8FA3A6。代码块使用 #0D1219 + #2A3946 边框；inline code 使用 raised 色，禁止白色胶囊造成反差刺眼。</w:t>
      </w:r>
    </w:p>
    <w:p>
      <w:pPr>
        <w:pStyle w:val="Heading2"/>
        <w:spacing w:after="120"/>
      </w:pPr>
      <w:r>
        <w:rPr>
          <w:b w:val="0"/>
        </w:rPr>
        <w:t>Details / 文件面板</w:t>
      </w:r>
    </w:p>
    <w:p>
      <w:pPr>
        <w:spacing w:after="120"/>
      </w:pPr>
      <w:r>
        <w:rPr>
          <w:b w:val="0"/>
        </w:rPr>
        <w:t>右栏以深色面板和左边界分隔，保留文件树与详情卡片语义，避免把其他插件内容纳入全局重写。</w:t>
      </w:r>
    </w:p>
    <w:p>
      <w:pPr>
        <w:pStyle w:val="Heading1"/>
        <w:spacing w:after="120"/>
      </w:pPr>
      <w:r>
        <w:rPr>
          <w:b w:val="0"/>
        </w:rPr>
        <w:t>04 令牌与状态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Token</w:t>
            </w:r>
          </w:p>
        </w:tc>
        <w:tc>
          <w:tcPr>
            <w:tcW w:type="dxa" w:w="2556"/>
          </w:tcPr>
          <w:p>
            <w:r>
              <w:t>值</w:t>
            </w:r>
          </w:p>
        </w:tc>
        <w:tc>
          <w:tcPr>
            <w:tcW w:type="dxa" w:w="2556"/>
          </w:tcPr>
          <w:p>
            <w:r>
              <w:t>用途</w:t>
            </w:r>
          </w:p>
        </w:tc>
        <w:tc>
          <w:tcPr>
            <w:tcW w:type="dxa" w:w="2556"/>
          </w:tcPr>
          <w:p>
            <w:r>
              <w:t>对比策略</w:t>
            </w:r>
          </w:p>
        </w:tc>
      </w:tr>
      <w:tr>
        <w:tc>
          <w:tcPr>
            <w:tcW w:type="dxa" w:w="2556"/>
            <w:vAlign w:val="center"/>
          </w:tcPr>
          <w:p>
            <w:r>
              <w:t>canvas</w:t>
            </w:r>
          </w:p>
        </w:tc>
        <w:tc>
          <w:tcPr>
            <w:tcW w:type="dxa" w:w="2556"/>
            <w:vAlign w:val="center"/>
          </w:tcPr>
          <w:p>
            <w:r>
              <w:t>#080B10</w:t>
            </w:r>
          </w:p>
        </w:tc>
        <w:tc>
          <w:tcPr>
            <w:tcW w:type="dxa" w:w="2556"/>
            <w:vAlign w:val="center"/>
          </w:tcPr>
          <w:p>
            <w:r>
              <w:t>应用底色</w:t>
            </w:r>
          </w:p>
        </w:tc>
        <w:tc>
          <w:tcPr>
            <w:tcW w:type="dxa" w:w="2556"/>
            <w:vAlign w:val="center"/>
          </w:tcPr>
          <w:p>
            <w:r>
              <w:t>与正文形成 ≥ 12:1</w:t>
            </w:r>
          </w:p>
        </w:tc>
      </w:tr>
      <w:tr>
        <w:tc>
          <w:tcPr>
            <w:tcW w:type="dxa" w:w="2556"/>
            <w:vAlign w:val="center"/>
          </w:tcPr>
          <w:p>
            <w:r>
              <w:t>surface</w:t>
            </w:r>
          </w:p>
        </w:tc>
        <w:tc>
          <w:tcPr>
            <w:tcW w:type="dxa" w:w="2556"/>
            <w:vAlign w:val="center"/>
          </w:tcPr>
          <w:p>
            <w:r>
              <w:t>#111720</w:t>
            </w:r>
          </w:p>
        </w:tc>
        <w:tc>
          <w:tcPr>
            <w:tcW w:type="dxa" w:w="2556"/>
            <w:vAlign w:val="center"/>
          </w:tcPr>
          <w:p>
            <w:r>
              <w:t>卡片 / 导航</w:t>
            </w:r>
          </w:p>
        </w:tc>
        <w:tc>
          <w:tcPr>
            <w:tcW w:type="dxa" w:w="2556"/>
            <w:vAlign w:val="center"/>
          </w:tcPr>
          <w:p>
            <w:r>
              <w:t>与边界拉开层次</w:t>
            </w:r>
          </w:p>
        </w:tc>
      </w:tr>
      <w:tr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#D5E1DD</w:t>
            </w:r>
          </w:p>
        </w:tc>
        <w:tc>
          <w:tcPr>
            <w:tcW w:type="dxa" w:w="2556"/>
            <w:vAlign w:val="center"/>
          </w:tcPr>
          <w:p>
            <w:r>
              <w:t>正文</w:t>
            </w:r>
          </w:p>
        </w:tc>
        <w:tc>
          <w:tcPr>
            <w:tcW w:type="dxa" w:w="2556"/>
            <w:vAlign w:val="center"/>
          </w:tcPr>
          <w:p>
            <w:r>
              <w:t>避免 #FFF</w:t>
            </w:r>
          </w:p>
        </w:tc>
      </w:tr>
      <w:tr>
        <w:tc>
          <w:tcPr>
            <w:tcW w:type="dxa" w:w="2556"/>
            <w:vAlign w:val="center"/>
          </w:tcPr>
          <w:p>
            <w:r>
              <w:t>muted</w:t>
            </w:r>
          </w:p>
        </w:tc>
        <w:tc>
          <w:tcPr>
            <w:tcW w:type="dxa" w:w="2556"/>
            <w:vAlign w:val="center"/>
          </w:tcPr>
          <w:p>
            <w:r>
              <w:t>#8FA3A6</w:t>
            </w:r>
          </w:p>
        </w:tc>
        <w:tc>
          <w:tcPr>
            <w:tcW w:type="dxa" w:w="2556"/>
            <w:vAlign w:val="center"/>
          </w:tcPr>
          <w:p>
            <w:r>
              <w:t>时间 / 辅助</w:t>
            </w:r>
          </w:p>
        </w:tc>
        <w:tc>
          <w:tcPr>
            <w:tcW w:type="dxa" w:w="2556"/>
            <w:vAlign w:val="center"/>
          </w:tcPr>
          <w:p>
            <w:r>
              <w:t>仅用于次要信息</w:t>
            </w:r>
          </w:p>
        </w:tc>
      </w:tr>
      <w:tr>
        <w:tc>
          <w:tcPr>
            <w:tcW w:type="dxa" w:w="2556"/>
            <w:vAlign w:val="center"/>
          </w:tcPr>
          <w:p>
            <w:r>
              <w:t>action</w:t>
            </w:r>
          </w:p>
        </w:tc>
        <w:tc>
          <w:tcPr>
            <w:tcW w:type="dxa" w:w="2556"/>
            <w:vAlign w:val="center"/>
          </w:tcPr>
          <w:p>
            <w:r>
              <w:t>#C8FF3D</w:t>
            </w:r>
          </w:p>
        </w:tc>
        <w:tc>
          <w:tcPr>
            <w:tcW w:type="dxa" w:w="2556"/>
            <w:vAlign w:val="center"/>
          </w:tcPr>
          <w:p>
            <w:r>
              <w:t>主动作 / 选中</w:t>
            </w:r>
          </w:p>
        </w:tc>
        <w:tc>
          <w:tcPr>
            <w:tcW w:type="dxa" w:w="2556"/>
            <w:vAlign w:val="center"/>
          </w:tcPr>
          <w:p>
            <w:r>
              <w:t>深色文字置于其上</w:t>
            </w:r>
          </w:p>
        </w:tc>
      </w:tr>
      <w:tr>
        <w:tc>
          <w:tcPr>
            <w:tcW w:type="dxa" w:w="2556"/>
            <w:vAlign w:val="center"/>
          </w:tcPr>
          <w:p>
            <w:r>
              <w:t>signal</w:t>
            </w:r>
          </w:p>
        </w:tc>
        <w:tc>
          <w:tcPr>
            <w:tcW w:type="dxa" w:w="2556"/>
            <w:vAlign w:val="center"/>
          </w:tcPr>
          <w:p>
            <w:r>
              <w:t>#47E3D2</w:t>
            </w:r>
          </w:p>
        </w:tc>
        <w:tc>
          <w:tcPr>
            <w:tcW w:type="dxa" w:w="2556"/>
            <w:vAlign w:val="center"/>
          </w:tcPr>
          <w:p>
            <w:r>
              <w:t>焦点 / 实时状态</w:t>
            </w:r>
          </w:p>
        </w:tc>
        <w:tc>
          <w:tcPr>
            <w:tcW w:type="dxa" w:w="2556"/>
            <w:vAlign w:val="center"/>
          </w:tcPr>
          <w:p>
            <w:r>
              <w:t>描边与 tab 指示</w:t>
            </w:r>
          </w:p>
        </w:tc>
      </w:tr>
      <w:tr>
        <w:tc>
          <w:tcPr>
            <w:tcW w:type="dxa" w:w="2556"/>
            <w:vAlign w:val="center"/>
          </w:tcPr>
          <w:p>
            <w:r>
              <w:t>blue</w:t>
            </w:r>
          </w:p>
        </w:tc>
        <w:tc>
          <w:tcPr>
            <w:tcW w:type="dxa" w:w="2556"/>
            <w:vAlign w:val="center"/>
          </w:tcPr>
          <w:p>
            <w:r>
              <w:t>#5C76FF</w:t>
            </w:r>
          </w:p>
        </w:tc>
        <w:tc>
          <w:tcPr>
            <w:tcW w:type="dxa" w:w="2556"/>
            <w:vAlign w:val="center"/>
          </w:tcPr>
          <w:p>
            <w:r>
              <w:t>硬阴影</w:t>
            </w:r>
          </w:p>
        </w:tc>
        <w:tc>
          <w:tcPr>
            <w:tcW w:type="dxa" w:w="2556"/>
            <w:vAlign w:val="center"/>
          </w:tcPr>
          <w:p>
            <w:r>
              <w:t>不承担文本语义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05 还原为开发代码</w:t>
      </w:r>
    </w:p>
    <w:p>
      <w:pPr>
        <w:spacing w:after="120"/>
      </w:pPr>
      <w:r>
        <w:rPr>
          <w:b w:val="0"/>
        </w:rPr>
        <w:t>主题注入：ui-theme/styles.ts 导入 neonforge.css；所有选择器以 body[data-dsh-neonforge] 为根。</w:t>
      </w:r>
    </w:p>
    <w:p>
      <w:pPr>
        <w:spacing w:after="120"/>
      </w:pPr>
      <w:r>
        <w:rPr>
          <w:b w:val="0"/>
        </w:rPr>
        <w:t>语义接点：AppFrame、WorkspaceBrowser、Rows、InputBar 只增加 data 属性，不改变业务状态和事件处理。</w:t>
      </w:r>
    </w:p>
    <w:p>
      <w:pPr>
        <w:spacing w:after="120"/>
      </w:pPr>
      <w:r>
        <w:rPr>
          <w:b w:val="0"/>
        </w:rPr>
        <w:t>插件装载：dsh-neonforge 作为 patch-layer bundle，通过 lib/client.js 在运行时装饰官方 DOM；link:live-dsh 仅用于本地软链开发，生产仍走 bundle。</w:t>
      </w:r>
    </w:p>
    <w:p>
      <w:pPr>
        <w:spacing w:after="120"/>
      </w:pPr>
      <w:r>
        <w:rPr>
          <w:b w:val="0"/>
        </w:rPr>
        <w:t>关键验收断言：插件关闭时基础 DSH 可独立渲染；插件开启时 frame/sidebar/conversation/details 标记存在；三栏宽度、拖拽、会话选择和发送路径保持原有测试结果。</w:t>
      </w:r>
    </w:p>
    <w:p>
      <w:pPr>
        <w:pStyle w:val="Heading1"/>
        <w:spacing w:after="120"/>
      </w:pPr>
      <w:r>
        <w:rPr>
          <w:b w:val="0"/>
        </w:rPr>
        <w:t>06 测试驱动与验收矩阵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层级</w:t>
            </w:r>
          </w:p>
        </w:tc>
        <w:tc>
          <w:tcPr>
            <w:tcW w:type="dxa" w:w="3408"/>
          </w:tcPr>
          <w:p>
            <w:r>
              <w:t>检查项</w:t>
            </w:r>
          </w:p>
        </w:tc>
        <w:tc>
          <w:tcPr>
            <w:tcW w:type="dxa" w:w="3408"/>
          </w:tcPr>
          <w:p>
            <w:r>
              <w:t>证据</w:t>
            </w:r>
          </w:p>
        </w:tc>
      </w:tr>
      <w:tr>
        <w:tc>
          <w:tcPr>
            <w:tcW w:type="dxa" w:w="3408"/>
            <w:vAlign w:val="center"/>
          </w:tcPr>
          <w:p>
            <w:r>
              <w:t>单元 / 组件</w:t>
            </w:r>
          </w:p>
        </w:tc>
        <w:tc>
          <w:tcPr>
            <w:tcW w:type="dxa" w:w="3408"/>
            <w:vAlign w:val="center"/>
          </w:tcPr>
          <w:p>
            <w:r>
              <w:t>AppFrame 三栏与 Neonforge 标记；InputBar 控件；Workspace ticket</w:t>
            </w:r>
          </w:p>
        </w:tc>
        <w:tc>
          <w:tcPr>
            <w:tcW w:type="dxa" w:w="3408"/>
            <w:vAlign w:val="center"/>
          </w:tcPr>
          <w:p>
            <w:r>
              <w:t>Vitest focused suite</w:t>
            </w:r>
          </w:p>
        </w:tc>
      </w:tr>
      <w:tr>
        <w:tc>
          <w:tcPr>
            <w:tcW w:type="dxa" w:w="3408"/>
            <w:vAlign w:val="center"/>
          </w:tcPr>
          <w:p>
            <w:r>
              <w:t>主题回归</w:t>
            </w:r>
          </w:p>
        </w:tc>
        <w:tc>
          <w:tcPr>
            <w:tcW w:type="dxa" w:w="3408"/>
            <w:vAlign w:val="center"/>
          </w:tcPr>
          <w:p>
            <w:r>
              <w:t>CSS 仅在 data-dsh-neonforge 根下生效；代码块与白底胶囊对比度改善</w:t>
            </w:r>
          </w:p>
        </w:tc>
        <w:tc>
          <w:tcPr>
            <w:tcW w:type="dxa" w:w="3408"/>
            <w:vAlign w:val="center"/>
          </w:tcPr>
          <w:p>
            <w:r>
              <w:t>styles tests + DOM assertions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运行时</w:t>
            </w:r>
          </w:p>
        </w:tc>
        <w:tc>
          <w:tcPr>
            <w:tcW w:type="dxa" w:w="3408"/>
            <w:vAlign w:val="center"/>
          </w:tcPr>
          <w:p>
            <w:r>
              <w:t>软链插件加载、服务启动、浏览器可见 marker、点击/输入不阻塞</w:t>
            </w:r>
          </w:p>
        </w:tc>
        <w:tc>
          <w:tcPr>
            <w:tcW w:type="dxa" w:w="3408"/>
            <w:vAlign w:val="center"/>
          </w:tcPr>
          <w:p>
            <w:r>
              <w:t>build plugin + browser smoke</w:t>
            </w:r>
          </w:p>
        </w:tc>
      </w:tr>
      <w:tr>
        <w:tc>
          <w:tcPr>
            <w:tcW w:type="dxa" w:w="3408"/>
            <w:vAlign w:val="center"/>
          </w:tcPr>
          <w:p>
            <w:r>
              <w:t>代码审查</w:t>
            </w:r>
          </w:p>
        </w:tc>
        <w:tc>
          <w:tcPr>
            <w:tcW w:type="dxa" w:w="3408"/>
            <w:vAlign w:val="center"/>
          </w:tcPr>
          <w:p>
            <w:r>
              <w:t>边界、可撤销性、可维护性、无跨插件全局污染</w:t>
            </w:r>
          </w:p>
        </w:tc>
        <w:tc>
          <w:tcPr>
            <w:tcW w:type="dxa" w:w="3408"/>
            <w:vAlign w:val="center"/>
          </w:tcPr>
          <w:p>
            <w:r>
              <w:t>review checklist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07 设计边界与后续</w:t>
      </w:r>
    </w:p>
    <w:p>
      <w:pPr>
        <w:spacing w:after="120"/>
      </w:pPr>
      <w:r>
        <w:rPr>
          <w:b w:val="0"/>
        </w:rPr>
        <w:t>当前方案刻意不重做 DSH 信息架构，不引入玻璃拟态、渐变霓虹或大面积动画。后续若要增强“游戏界面”感，可在不改布局的前提下增加低频扫描线、状态角标和可选的工业纹理；必须保持正文与控件的可读性，并继续以基础组件作用域隔离。</w:t>
      </w:r>
    </w:p>
    <w:p>
      <w:pPr>
        <w:spacing w:after="120"/>
      </w:pPr>
      <w:r>
        <w:rPr>
          <w:b/>
          <w:color w:val="8FA3A6"/>
        </w:rPr>
        <w:t>交付参考：packages/client/ui-theme/src/styles/neonforge.css · packages/client/ui-layout/src/client/AppFrame.tsx · plugins/dsh-neonforge/lib/client.js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Helvetica Neue" w:hAnsi="Helvetica Neue"/>
      <w:color w:val="23303A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ascii="Helvetica Neue" w:hAnsi="Helvetica Neue"/>
      <w:b/>
      <w:bCs w:val="1"/>
      <w:color w:val="47E3D2"/>
      <w:sz w:val="36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Helvetica Neue" w:cs="Calibri" w:eastAsia="Calibri" w:hAnsi="Helvetica Neue"/>
      <w:b/>
      <w:bCs w:val="1"/>
      <w:smallCaps w:val="1"/>
      <w:color w:val="C8FF3D"/>
      <w:sz w:val="26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Helvetica Neue" w:hAnsi="Helvetica Neue"/>
      <w:b/>
      <w:bCs w:val="1"/>
      <w:color w:val="C8FF3D"/>
      <w:sz w:val="56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