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When Do LLM Agents Treat Surface Noise Differently from Semantic Noise? A 44-Cell Measurement Study with Severity, Generator, and Judge Robustness Tests</w:t>
      </w:r>
    </w:p>
    <w:p>
      <w:pPr>
        <w:pStyle w:val="Heading2"/>
      </w:pPr>
      <w:r>
        <w:t>Abstract</w:t>
      </w:r>
    </w:p>
    <w:p>
      <w:r>
        <w:t>We document a robust empirical phenomenon in chain-of-thought and ReAct agents driven by six large language models: when an input is perturbed by a meaning-bearing operator (paraphrase, synonym), the agent's final answer changes more often than when it is perturbed by a presentation operator (reordering, formatting, distractor) of comparable severity. Across 44 cells covering three benchmarks (GSM8K, MATH, HotpotQA), 970 originals and 8,350 variants, the inconsistency rate gap averages +14.32 pp after severity matching (paired t=6.76, p&lt;0.0001; 40/44 positive; Table 1, Figure 1). The gap correlates with task accuracy (Pearson r=+0.44, BH q=0.021), and on GSM8K shows a +0.38 step cascade depth gap (p=0.007) that survives a TF-IDF cosine redefinition (+0.66 step, p&lt;0.001; Figure 3). However, the phenomenon fails several stress tests: a wild cluster bootstrap with K=6 model clusters renders the topology coefficient non-significant (p=0.165; Table 2), within-benchmark tractability proxies show 0/3 significant contrasts, and a cross-architecture generator swap destroys per-cell ranking (Spearman ρ=+0.14) while the within-architecture swap preserves it (ρ=+0.71; Figure 5). A second LLM judge agrees at Cohen's κ=0.50 uniformly across strata. We position this as a measurement contribution: a stable phenomenon with explicit boundaries on what current data can and cannot establish.</w:t>
      </w:r>
    </w:p>
    <w:p>
      <w:pPr>
        <w:pStyle w:val="Heading2"/>
      </w:pPr>
      <w:r>
        <w:t>1. Introduction</w:t>
      </w:r>
    </w:p>
    <w:p>
      <w:r>
        <w:t>Large language model agents that solve multi-step reasoning, math, and retrieval tasks are increasingly deployed in settings where input prompts are paraphrased by upstream models, reordered by templating systems, or perturbed by adversaries. A practitioner therefore needs to know whether a given agent treats lexical noise (formatting, token order) and semantic noise (paraphrase, synonym substitution) as equivalent, or whether the two perturbation classes propagate to the final answer at systematically different rates. The latter case has direct engineering implications: input normalisation should focus on whichever perturbation class actually changes answers.</w:t>
      </w:r>
    </w:p>
    <w:p>
      <w:r>
        <w:t>Prior work on perturbation robustness has largely treated single-step language models. Zhu et al. (2024) report that prompt rewrites of various flavours degrade accuracy, but PromptBench does not separate out a directional gap between meaning-bearing and presentation perturbations, and it does not study multi-step agent trajectories. Ribeiro et al. (2020) introduced behavioural categories with CheckList but operate on classifiers, not agents with tool use and retrieval. Recent agent benchmarks such as AgentBench (Liu et al., 2024) measure raw success rate, not perturbation sensitivity. Sclar et al. (2024) showed that prompt formatting alone can shift accuracy by tens of points, motivating the question of whether agents inherit this fragility. The methodological question — whether the gap exists in agents and whether it is robust to severity matching, judge replacement, and generator replacement — has not been answered.</w:t>
      </w:r>
    </w:p>
    <w:p>
      <w:r>
        <w:t>We address that question with a 44-cell measurement study covering six LLMs (qwen2.5 1B/3B/7B/14B, llama-3.2 1B/3B, llama-3.1 8B, MiMo-v2.5-Pro), three benchmarks (GSM8K, Cobbe et al., 2021; MATH, Hendrycks et al., 2021; HotpotQA, Yang et al., 2018), and two scaffolds (chain-of-thought, Wei et al., 2022; ReAct, Yao et al., 2023). For each cell we run 20 to 50 originals through 5 perturbation operators (2 meaning-bearing: paraphrase, synonym; 3 presentation: reorder, format, distractor) and record the agent's final answer plus full step-level trajectory. We then submit the resulting data to a sequence of stress tests: severity matching by edit-distance bin, wild cluster bootstrap (Cameron et al., 2008; Roodman et al., 2019) for small-K inference, hierarchical bootstrap for nested trajectory data, generator-swap with two alternative perturbation generators, and second-judge cross-validation with a different LLM family (Zheng et al., 2023).</w:t>
      </w:r>
    </w:p>
    <w:p>
      <w:r>
        <w:t>Our contributions are:</w:t>
      </w:r>
    </w:p>
    <w:p>
      <w:pPr>
        <w:pStyle w:val="ListNumber"/>
      </w:pPr>
      <w:r>
        <w:rPr>
          <w:b/>
        </w:rPr>
        <w:t>A robust empirical phenomenon.</w:t>
      </w:r>
      <w:r>
        <w:t xml:space="preserve"> After matching meaning-bearing and presentation operators on edit-distance distribution, the inconsistency rate gap remains </w:t>
      </w:r>
      <w:r>
        <w:rPr>
          <w:rFonts w:ascii="Cambria Math" w:hAnsi="Cambria Math"/>
          <w:i/>
        </w:rPr>
        <w:t>+14.32</w:t>
      </w:r>
      <w:r>
        <w:t xml:space="preserve"> percentage points (paired </w:t>
      </w:r>
      <w:r>
        <w:rPr>
          <w:rFonts w:ascii="Cambria Math" w:hAnsi="Cambria Math"/>
          <w:i/>
        </w:rPr>
        <w:t>t=6.76</w:t>
      </w:r>
      <w:r>
        <w:t xml:space="preserve">, </w:t>
      </w:r>
      <w:r>
        <w:rPr>
          <w:rFonts w:ascii="Cambria Math" w:hAnsi="Cambria Math"/>
          <w:i/>
        </w:rPr>
        <w:t>p&lt;0.0001</w:t>
      </w:r>
      <w:r>
        <w:t xml:space="preserve">; 40/44 cells positive). It survives a TF-IDF redefinition of cascade depth on GSM8K (gap </w:t>
      </w:r>
      <w:r>
        <w:rPr>
          <w:rFonts w:ascii="Cambria Math" w:hAnsi="Cambria Math"/>
          <w:i/>
        </w:rPr>
        <w:t>+0.66</w:t>
      </w:r>
      <w:r>
        <w:t xml:space="preserve"> steps, </w:t>
      </w:r>
      <w:r>
        <w:rPr>
          <w:rFonts w:ascii="Cambria Math" w:hAnsi="Cambria Math"/>
          <w:i/>
        </w:rPr>
        <w:t>p&lt;0.001</w:t>
      </w:r>
      <w:r>
        <w:t>) and is uniform across operator pairs.</w:t>
      </w:r>
    </w:p>
    <w:p>
      <w:pPr>
        <w:pStyle w:val="ListNumber"/>
      </w:pPr>
      <w:r>
        <w:rPr>
          <w:b/>
        </w:rPr>
        <w:t>A statistically faithful identification of the boundary at $K=6$ model clusters.</w:t>
      </w:r>
      <w:r>
        <w:t xml:space="preserve"> Wild cluster bootstrap renders the regression coefficient on multi-path benchmarks non-significant (</w:t>
      </w:r>
      <w:r>
        <w:rPr>
          <w:rFonts w:ascii="Cambria Math" w:hAnsi="Cambria Math"/>
          <w:i/>
        </w:rPr>
        <w:t>p=0.165</w:t>
      </w:r>
      <w:r>
        <w:t>), and within-benchmark tractability proxies fail in 0/3 contrasts. We therefore explicitly downgrade earlier ``topology gates the dichotomy'' framings to ``</w:t>
      </w:r>
      <w:r>
        <w:rPr>
          <w:rFonts w:ascii="Cambria Math" w:hAnsi="Cambria Math"/>
          <w:i/>
        </w:rPr>
        <w:t>\Delta</w:t>
      </w:r>
      <w:r>
        <w:t xml:space="preserve"> varies with benchmark identity for reasons we cannot resolve at </w:t>
      </w:r>
      <w:r>
        <w:rPr>
          <w:rFonts w:ascii="Cambria Math" w:hAnsi="Cambria Math"/>
          <w:i/>
        </w:rPr>
        <w:t>K=6</w:t>
      </w:r>
      <w:r>
        <w:t>''.</w:t>
      </w:r>
    </w:p>
    <w:p>
      <w:pPr>
        <w:pStyle w:val="ListNumber"/>
      </w:pPr>
      <w:r>
        <w:rPr>
          <w:b/>
        </w:rPr>
        <w:t>A generator-family-conditional generalisation claim.</w:t>
      </w:r>
      <w:r>
        <w:t xml:space="preserve"> Cross-family generator swap (qwen vs MiMo) destroys per-cell ranking (Spearman </w:t>
      </w:r>
      <w:r>
        <w:rPr>
          <w:rFonts w:ascii="Cambria Math" w:hAnsi="Cambria Math"/>
          <w:i/>
        </w:rPr>
        <w:t>\rho=+0.14</w:t>
      </w:r>
      <w:r>
        <w:t xml:space="preserve">, </w:t>
      </w:r>
      <w:r>
        <w:rPr>
          <w:rFonts w:ascii="Cambria Math" w:hAnsi="Cambria Math"/>
          <w:i/>
        </w:rPr>
        <w:t>n=8</w:t>
      </w:r>
      <w:r>
        <w:t xml:space="preserve"> paired cells); within-family swap (qwen 3B vs qwen 14B) preserves it (</w:t>
      </w:r>
      <w:r>
        <w:rPr>
          <w:rFonts w:ascii="Cambria Math" w:hAnsi="Cambria Math"/>
          <w:i/>
        </w:rPr>
        <w:t>\rho=+0.71</w:t>
      </w:r>
      <w:r>
        <w:t>). The paper does not claim cross-family generalisation.</w:t>
      </w:r>
    </w:p>
    <w:p>
      <w:pPr>
        <w:pStyle w:val="ListNumber"/>
      </w:pPr>
      <w:r>
        <w:rPr>
          <w:b/>
        </w:rPr>
        <w:t>A judge-replacement audit.</w:t>
      </w:r>
      <w:r>
        <w:t xml:space="preserve"> A second LLM judge from a different family (MiMo vs qwen2.5-7B) agrees with the primary judge at Cohen's </w:t>
      </w:r>
      <w:r>
        <w:rPr>
          <w:rFonts w:ascii="Cambria Math" w:hAnsi="Cambria Math"/>
          <w:i/>
        </w:rPr>
        <w:t>\kappa=0.50</w:t>
      </w:r>
      <w:r>
        <w:t>, uniform across benchmarks (0.50, 0.44, 0.55) and operators (0.48–0.52). The disagreement is therefore moderate but unbiased.</w:t>
      </w:r>
    </w:p>
    <w:p>
      <w:r>
        <w:t>The remainder of the paper presents the measurement framework (\S3), the seven robustness tests (\S4), the prototype diagnostic tool AgentDiff-Probe v2 (\S5), and a careful discussion of limitations (\S6).</w:t>
      </w:r>
    </w:p>
    <w:p>
      <w:pPr>
        <w:pStyle w:val="Heading2"/>
      </w:pPr>
      <w:r>
        <w:t>2. Related Work</w:t>
      </w:r>
    </w:p>
    <w:p>
      <w:r>
        <w:rPr>
          <w:b/>
        </w:rPr>
        <w:t>Perturbation robustness for single-step models.</w:t>
      </w:r>
      <w:r>
        <w:t xml:space="preserve"> Zhu et al. (2024) introduced PromptBench, a battery of perturbation operators on classification and generation models that found performance drops vary by operator. Ribeiro et al. (2020) defined behavioural categories in CheckList that include both meaning-preserving rewrites and meaning-changing edits but operate on the model's own predictions, not on a multi-step trajectory. Gardner et al. (2020) created Contrast Sets — minimal-pair test items — that again target single-step predictions. Sclar et al. (2024) showed that prompt formatting alone can shift accuracy by tens of points, motivating the question of whether agents inherit this fragility. None of these studies separates a directional gap between meaning-bearing and presentation operators on agent trajectories or runs the gap through a severity match, generator swap, and judge swap.</w:t>
      </w:r>
    </w:p>
    <w:p>
      <w:r>
        <w:rPr>
          <w:b/>
        </w:rPr>
        <w:t>Agent benchmarks and trajectory analysis.</w:t>
      </w:r>
      <w:r>
        <w:t xml:space="preserve"> Liu et al. (2024) and Yan et al. (2024) measure end-to-end success on multi-step tasks via AgentBench and AgentBoard, while Yao et al. (2025) study tool-agent-user interaction in </w:t>
      </w:r>
      <w:r>
        <w:rPr>
          <w:rFonts w:ascii="Cambria Math" w:hAnsi="Cambria Math"/>
          <w:i/>
        </w:rPr>
        <w:t>\tau</w:t>
      </w:r>
      <w:r>
        <w:t>-Bench. Yao et al. (2023), Shinn et al. (2023), and Madaan et al. (2023) instrument the trajectory itself in ReAct, Reflexion, and Self-Refine, allowing fine-grained inspection of step-level failure modes. Our cascade-depth statistic borrows the trajectory-level intuition but applies it to inconsistency rather than success, and we replace exact string matching with TF-IDF cosine to rule out lexical-drift artefacts (\S4.4).</w:t>
      </w:r>
    </w:p>
    <w:p>
      <w:r>
        <w:rPr>
          <w:b/>
        </w:rPr>
        <w:t>Statistical inference at small cluster counts.</w:t>
      </w:r>
      <w:r>
        <w:t xml:space="preserve"> Cluster-robust standard errors with </w:t>
      </w:r>
      <w:r>
        <w:rPr>
          <w:rFonts w:ascii="Cambria Math" w:hAnsi="Cambria Math"/>
          <w:i/>
        </w:rPr>
        <w:t>K</w:t>
      </w:r>
      <w:r>
        <w:t xml:space="preserve"> below roughly 30 are known to be over-confident (Liang and Zeger, 1986); wild cluster bootstrap (Cameron et al., 2008; Roodman et al., 2019) and CR2 corrections are the standard fix. We adopt wild cluster bootstrap as the primary inferential test (\S4.2) and report the resulting </w:t>
      </w:r>
      <w:r>
        <w:rPr>
          <w:rFonts w:ascii="Cambria Math" w:hAnsi="Cambria Math"/>
          <w:i/>
        </w:rPr>
        <w:t>p</w:t>
      </w:r>
      <w:r>
        <w:t xml:space="preserve">-values alongside the naive Liang–Zeger sandwich estimates so a reader can see how much our small </w:t>
      </w:r>
      <w:r>
        <w:rPr>
          <w:rFonts w:ascii="Cambria Math" w:hAnsi="Cambria Math"/>
          <w:i/>
        </w:rPr>
        <w:t>K=6</w:t>
      </w:r>
      <w:r>
        <w:t xml:space="preserve"> deflates the headline.</w:t>
      </w:r>
    </w:p>
    <w:p>
      <w:r>
        <w:rPr>
          <w:b/>
        </w:rPr>
        <w:t>LLM-as-judge reliability.</w:t>
      </w:r>
      <w:r>
        <w:t xml:space="preserve"> Zheng et al. (2023) document that single-LLM judges can be biased on specific output formats. We respond by running a second judge from a different family (MiMo vs qwen2.5-7B) on a stratified subsample of 1,486 paired decisions and reporting Cohen's </w:t>
      </w:r>
      <w:r>
        <w:rPr>
          <w:rFonts w:ascii="Cambria Math" w:hAnsi="Cambria Math"/>
          <w:i/>
        </w:rPr>
        <w:t>\kappa</w:t>
      </w:r>
      <w:r>
        <w:t xml:space="preserve"> overall and per stratum (\S4.6). Schaeffer et al. (2023) caution that perturbation-induced metrics can be artefacts of metric choice; we therefore report results across both edit-distance and cosine-based metrics.</w:t>
      </w:r>
    </w:p>
    <w:p>
      <w:pPr>
        <w:pStyle w:val="Heading2"/>
      </w:pPr>
      <w:r>
        <w:t>3. Method: Measurement Framework</w:t>
      </w:r>
    </w:p>
    <w:p>
      <w:pPr>
        <w:pStyle w:val="Heading3"/>
      </w:pPr>
      <w:r>
        <w:t>3.1 Operator taxonomy</w:t>
      </w:r>
    </w:p>
    <w:p>
      <w:r>
        <w:t>We label perturbation operators by what they target rather than by whether they change meaning, since paraphrase and synonym substitution are formally meaning-preserving rewrites yet they target meaning-bearing tokens.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Side</w:t>
            </w:r>
          </w:p>
        </w:tc>
        <w:tc>
          <w:tcPr>
            <w:tcW w:type="dxa" w:w="2160"/>
          </w:tcPr>
          <w:p>
            <w:r>
              <w:rPr>
                <w:b/>
              </w:rPr>
            </w:r>
            <w:r>
              <w:rPr>
                <w:b/>
              </w:rPr>
              <w:t>Operator</w:t>
            </w:r>
          </w:p>
        </w:tc>
        <w:tc>
          <w:tcPr>
            <w:tcW w:type="dxa" w:w="2160"/>
          </w:tcPr>
          <w:p>
            <w:r>
              <w:rPr>
                <w:b/>
              </w:rPr>
            </w:r>
            <w:r>
              <w:rPr>
                <w:b/>
              </w:rPr>
              <w:t>Targets</w:t>
            </w:r>
          </w:p>
        </w:tc>
        <w:tc>
          <w:tcPr>
            <w:tcW w:type="dxa" w:w="2160"/>
          </w:tcPr>
          <w:p>
            <w:r>
              <w:rPr>
                <w:b/>
              </w:rPr>
            </w:r>
            <w:r>
              <w:rPr>
                <w:b/>
              </w:rPr>
              <w:t>Meaning-preserving?</w:t>
            </w:r>
          </w:p>
        </w:tc>
      </w:tr>
      <w:tr>
        <w:tc>
          <w:tcPr>
            <w:tcW w:type="dxa" w:w="2160"/>
          </w:tcPr>
          <w:p>
            <w:r/>
            <w:r>
              <w:t>Meaning-bearing</w:t>
            </w:r>
          </w:p>
        </w:tc>
        <w:tc>
          <w:tcPr>
            <w:tcW w:type="dxa" w:w="2160"/>
          </w:tcPr>
          <w:p>
            <w:r/>
            <w:r>
              <w:t>Paraphrase</w:t>
            </w:r>
          </w:p>
        </w:tc>
        <w:tc>
          <w:tcPr>
            <w:tcW w:type="dxa" w:w="2160"/>
          </w:tcPr>
          <w:p>
            <w:r/>
            <w:r>
              <w:t>Whole-question rewrite</w:t>
            </w:r>
          </w:p>
        </w:tc>
        <w:tc>
          <w:tcPr>
            <w:tcW w:type="dxa" w:w="2160"/>
          </w:tcPr>
          <w:p>
            <w:r/>
            <w:r>
              <w:t>Yes</w:t>
            </w:r>
          </w:p>
        </w:tc>
      </w:tr>
      <w:tr>
        <w:tc>
          <w:tcPr>
            <w:tcW w:type="dxa" w:w="2160"/>
          </w:tcPr>
          <w:p>
            <w:r/>
            <w:r>
              <w:t>Meaning-bearing</w:t>
            </w:r>
          </w:p>
        </w:tc>
        <w:tc>
          <w:tcPr>
            <w:tcW w:type="dxa" w:w="2160"/>
          </w:tcPr>
          <w:p>
            <w:r/>
            <w:r>
              <w:t>Synonym</w:t>
            </w:r>
          </w:p>
        </w:tc>
        <w:tc>
          <w:tcPr>
            <w:tcW w:type="dxa" w:w="2160"/>
          </w:tcPr>
          <w:p>
            <w:r/>
            <w:r>
              <w:t>Open-class word substitution</w:t>
            </w:r>
          </w:p>
        </w:tc>
        <w:tc>
          <w:tcPr>
            <w:tcW w:type="dxa" w:w="2160"/>
          </w:tcPr>
          <w:p>
            <w:r/>
            <w:r>
              <w:t>Yes</w:t>
            </w:r>
          </w:p>
        </w:tc>
      </w:tr>
      <w:tr>
        <w:tc>
          <w:tcPr>
            <w:tcW w:type="dxa" w:w="2160"/>
          </w:tcPr>
          <w:p>
            <w:r/>
            <w:r>
              <w:t>Presentation</w:t>
            </w:r>
          </w:p>
        </w:tc>
        <w:tc>
          <w:tcPr>
            <w:tcW w:type="dxa" w:w="2160"/>
          </w:tcPr>
          <w:p>
            <w:r/>
            <w:r>
              <w:t>Reorder</w:t>
            </w:r>
          </w:p>
        </w:tc>
        <w:tc>
          <w:tcPr>
            <w:tcW w:type="dxa" w:w="2160"/>
          </w:tcPr>
          <w:p>
            <w:r/>
            <w:r>
              <w:t>Token / clause permutation</w:t>
            </w:r>
          </w:p>
        </w:tc>
        <w:tc>
          <w:tcPr>
            <w:tcW w:type="dxa" w:w="2160"/>
          </w:tcPr>
          <w:p>
            <w:r/>
            <w:r>
              <w:t>Yes</w:t>
            </w:r>
          </w:p>
        </w:tc>
      </w:tr>
      <w:tr>
        <w:tc>
          <w:tcPr>
            <w:tcW w:type="dxa" w:w="2160"/>
          </w:tcPr>
          <w:p>
            <w:r/>
            <w:r>
              <w:t>Presentation</w:t>
            </w:r>
          </w:p>
        </w:tc>
        <w:tc>
          <w:tcPr>
            <w:tcW w:type="dxa" w:w="2160"/>
          </w:tcPr>
          <w:p>
            <w:r/>
            <w:r>
              <w:t>Format</w:t>
            </w:r>
          </w:p>
        </w:tc>
        <w:tc>
          <w:tcPr>
            <w:tcW w:type="dxa" w:w="2160"/>
          </w:tcPr>
          <w:p>
            <w:r/>
            <w:r>
              <w:t>Whitespace, punctuation, casing</w:t>
            </w:r>
          </w:p>
        </w:tc>
        <w:tc>
          <w:tcPr>
            <w:tcW w:type="dxa" w:w="2160"/>
          </w:tcPr>
          <w:p>
            <w:r/>
            <w:r>
              <w:t>Yes</w:t>
            </w:r>
          </w:p>
        </w:tc>
      </w:tr>
      <w:tr>
        <w:tc>
          <w:tcPr>
            <w:tcW w:type="dxa" w:w="2160"/>
          </w:tcPr>
          <w:p>
            <w:r/>
            <w:r>
              <w:t>Presentation</w:t>
            </w:r>
          </w:p>
        </w:tc>
        <w:tc>
          <w:tcPr>
            <w:tcW w:type="dxa" w:w="2160"/>
          </w:tcPr>
          <w:p>
            <w:r/>
            <w:r>
              <w:t>Distractor</w:t>
            </w:r>
          </w:p>
        </w:tc>
        <w:tc>
          <w:tcPr>
            <w:tcW w:type="dxa" w:w="2160"/>
          </w:tcPr>
          <w:p>
            <w:r/>
            <w:r>
              <w:t>Insertion of irrelevant context</w:t>
            </w:r>
          </w:p>
        </w:tc>
        <w:tc>
          <w:tcPr>
            <w:tcW w:type="dxa" w:w="2160"/>
          </w:tcPr>
          <w:p>
            <w:r/>
            <w:r>
              <w:t>Yes</w:t>
            </w:r>
          </w:p>
        </w:tc>
      </w:tr>
    </w:tbl>
    <w:p/>
    <w:p>
      <w:r>
        <w:t>All five operators preserve the gold answer; an equivalence judge filters out variants that change the underlying question. We deliberately avoid the term "semantic" in operator labels because, as Reviewer 1 of an earlier draft pointed out, "semantic" perturbations that preserve meaning are conceptually closer to "more aggressive lexical rewrites" than to "different-meaning edits".</w:t>
      </w:r>
    </w:p>
    <w:p>
      <w:pPr>
        <w:pStyle w:val="Heading3"/>
      </w:pPr>
      <w:r>
        <w:t>3.2 The inconsistency rate gap Δ</w:t>
      </w:r>
    </w:p>
    <w:p>
      <w:r>
        <w:t>For each cell c (a model × benchmark × scaffold combination) and each operator o, the inconsistency rate is</w:t>
      </w:r>
    </w:p>
    <w:p>
      <w:pPr>
        <w:jc w:val="center"/>
      </w:pPr>
      <w:r>
        <w:rPr>
          <w:rFonts w:ascii="Cambria Math" w:hAnsi="Cambria Math"/>
          <w:i/>
          <w:sz w:val="24"/>
        </w:rPr>
        <w:t>\mathrm{IR}_{c,o} = \frac{1}{N_c} \sum_{i=1}^{N_c} \mathbb{1}\bigl[\,a_{c,o,i} \ne a^{\mathrm{orig}}_{c,i}\,\bigr]</w:t>
      </w:r>
    </w:p>
    <w:p>
      <w:r>
        <w:t xml:space="preserve">where </w:t>
      </w:r>
      <w:r>
        <w:rPr>
          <w:rFonts w:ascii="Cambria Math" w:hAnsi="Cambria Math"/>
          <w:i/>
        </w:rPr>
        <w:t>a_{c,o,i}</w:t>
      </w:r>
      <w:r>
        <w:t xml:space="preserve"> is the agent's final answer on the perturbed variant of original question </w:t>
      </w:r>
      <w:r>
        <w:rPr>
          <w:rFonts w:ascii="Cambria Math" w:hAnsi="Cambria Math"/>
          <w:i/>
        </w:rPr>
        <w:t>i</w:t>
      </w:r>
      <w:r>
        <w:t xml:space="preserve"> and </w:t>
      </w:r>
      <w:r>
        <w:rPr>
          <w:rFonts w:ascii="Cambria Math" w:hAnsi="Cambria Math"/>
          <w:i/>
        </w:rPr>
        <w:t>a^{\mathrm{orig}}_{c,i}</w:t>
      </w:r>
      <w:r>
        <w:t xml:space="preserve"> is the answer on the original question. The gap is then</w:t>
      </w:r>
    </w:p>
    <w:p>
      <w:pPr>
        <w:jc w:val="center"/>
      </w:pPr>
      <w:r>
        <w:rPr>
          <w:rFonts w:ascii="Cambria Math" w:hAnsi="Cambria Math"/>
          <w:i/>
          <w:sz w:val="24"/>
        </w:rPr>
        <w:t>\Delta_c = \overline{\mathrm{IR}}_{c,\mathrm{sem}} - \overline{\mathrm{IR}}_{c,\mathrm{sur}}</w:t>
      </w:r>
    </w:p>
    <w:p>
      <w:r>
        <w:t xml:space="preserve">where </w:t>
      </w:r>
      <w:r>
        <w:rPr>
          <w:rFonts w:ascii="Cambria Math" w:hAnsi="Cambria Math"/>
          <w:i/>
        </w:rPr>
        <w:t>\overline{\mathrm{IR}}_{c,\mathrm{sem}}</w:t>
      </w:r>
      <w:r>
        <w:t xml:space="preserve"> averages over paraphrase and synonym, and </w:t>
      </w:r>
      <w:r>
        <w:rPr>
          <w:rFonts w:ascii="Cambria Math" w:hAnsi="Cambria Math"/>
          <w:i/>
        </w:rPr>
        <w:t>\overline{\mathrm{IR}}_{c,\mathrm{sur}}</w:t>
      </w:r>
      <w:r>
        <w:t xml:space="preserve"> averages over reorder, format, and distractor.</w:t>
      </w:r>
    </w:p>
    <w:p>
      <w:pPr>
        <w:pStyle w:val="Heading3"/>
      </w:pPr>
      <w:r>
        <w:t>3.3 Cascade depth</w:t>
      </w:r>
    </w:p>
    <w:p>
      <w:r>
        <w:t>For each inconsistent variant we compare the original and perturbed agent traces step by step. Under the exact-match definition, two steps are equal if their whitespace-normalised text is identical; the cascade depth is the count of consecutive steps after the first divergence point at which the perturbed step does not match any subsequent original step. To rule out the concern that this metric captures lexical drift rather than reasoning chain difference, §4.4 redefines cascade depth using TF-IDF cosine alignment with thresholds 0.3, 0.5, and 0.7.</w:t>
      </w:r>
    </w:p>
    <w:p>
      <w:pPr>
        <w:pStyle w:val="Heading3"/>
      </w:pPr>
      <w:r>
        <w:t>3.4 Inferential model</w:t>
      </w:r>
    </w:p>
    <w:p>
      <w:r>
        <w:t>We fit two regression specifications. The descriptive specification regresses cell-level Δ on a multi-path benchmark indicator and on cell accuracy with cluster-robust standard errors, where clusters are model identities (K=6). Because K=6 is below the threshold at which the Liang–Zeger sandwich is reliable, we additionally run a wild cluster bootstrap with 10,000 Rademacher replicates and impose the null per coefficient. We report wild bootstrap p-values as the primary inferential statistic and naive cluster-robust z-statistics for comparison only.</w:t>
      </w:r>
    </w:p>
    <w:p>
      <w:r>
        <w:t>For the cascade depth analysis, observations are nested as variants within originals within cells within models. We therefore report both pooled Welch t-tests (mirroring prior work) and a hierarchical bootstrap that resamples models, then cells within model, then questions within cell. Cell-level paired t-tests with K=12 cells per benchmark serve as a sanity check.</w:t>
      </w:r>
    </w:p>
    <w:p>
      <w:pPr>
        <w:pStyle w:val="Heading2"/>
      </w:pPr>
      <w:r>
        <w:t>4. Experiments: Robustness Tests and Ablations</w:t>
      </w:r>
    </w:p>
    <w:p>
      <w:r>
        <w:t xml:space="preserve">Figure 1 summarises the cell-level </w:t>
      </w:r>
      <w:r>
        <w:rPr>
          <w:rFonts w:ascii="Cambria Math" w:hAnsi="Cambria Math"/>
          <w:i/>
        </w:rPr>
        <w:t>\Delta</w:t>
      </w:r>
      <w:r>
        <w:t xml:space="preserve"> distribution across all 44 cells; Figure 2 shows the severity-match audit; Figure 3 visualises the cascade-depth gap on GSM8K under exact and TF-IDF cosine alignments; Figure 4 plots the within-benchmark tractability strata; Figure 5 plots the three-way generator rank correlation. \S4.1 through \S4.7 each act as a controlled ablation on a specific component of the framework: \S4.1 ablates severity matching, \S4.2 ablates the small-</w:t>
      </w:r>
      <w:r>
        <w:rPr>
          <w:rFonts w:ascii="Cambria Math" w:hAnsi="Cambria Math"/>
          <w:i/>
        </w:rPr>
        <w:t>K</w:t>
      </w:r>
      <w:r>
        <w:t xml:space="preserve"> cluster correction, \S4.4 ablates the exact-match cascade definition, \S4.5 ablates the cross-benchmark assumption, \S4.6 ablates the single-judge assumption, and \S4.7 ablates the single-generator assumption.</w:t>
      </w:r>
    </w:p>
    <w:p>
      <w:r>
        <w:t xml:space="preserve">![Figure 1: Per-cell severity-matched </w:t>
      </w:r>
      <w:r>
        <w:rPr>
          <w:rFonts w:ascii="Cambria Math" w:hAnsi="Cambria Math"/>
          <w:i/>
        </w:rPr>
        <w:t>\Delta</w:t>
      </w:r>
      <w:r>
        <w:t xml:space="preserve"> across 44 cells; 40 of 44 are positive, with a mean of </w:t>
      </w:r>
      <w:r>
        <w:rPr>
          <w:rFonts w:ascii="Cambria Math" w:hAnsi="Cambria Math"/>
          <w:i/>
        </w:rPr>
        <w:t>+14.32</w:t>
      </w:r>
      <w:r>
        <w:t xml:space="preserve"> pp (paired </w:t>
      </w:r>
      <w:r>
        <w:rPr>
          <w:rFonts w:ascii="Cambria Math" w:hAnsi="Cambria Math"/>
          <w:i/>
        </w:rPr>
        <w:t>t=6.76</w:t>
      </w:r>
      <w:r>
        <w:t xml:space="preserve">, </w:t>
      </w:r>
      <w:r>
        <w:rPr>
          <w:rFonts w:ascii="Cambria Math" w:hAnsi="Cambria Math"/>
          <w:i/>
        </w:rPr>
        <w:t>p&lt;0.0001</w:t>
      </w:r>
      <w:r>
        <w:t>).](paper_figs/fig1_delta_distribution.png)</w:t>
      </w:r>
    </w:p>
    <w:p>
      <w:r>
        <w:rPr>
          <w:b/>
        </w:rPr>
        <w:t>Figure 1.</w:t>
      </w:r>
      <w:r>
        <w:t xml:space="preserve"> Per-cell severity-matched </w:t>
      </w:r>
      <w:r>
        <w:rPr>
          <w:rFonts w:ascii="Cambria Math" w:hAnsi="Cambria Math"/>
          <w:i/>
        </w:rPr>
        <w:t>\Delta</w:t>
      </w:r>
      <w:r>
        <w:t xml:space="preserve"> across 44 cells; 40/44 are positive, with a mean of </w:t>
      </w:r>
      <w:r>
        <w:rPr>
          <w:rFonts w:ascii="Cambria Math" w:hAnsi="Cambria Math"/>
          <w:i/>
        </w:rPr>
        <w:t>+14.32</w:t>
      </w:r>
      <w:r>
        <w:t xml:space="preserve"> pp (paired </w:t>
      </w:r>
      <w:r>
        <w:rPr>
          <w:rFonts w:ascii="Cambria Math" w:hAnsi="Cambria Math"/>
          <w:i/>
        </w:rPr>
        <w:t>t=6.76</w:t>
      </w:r>
      <w:r>
        <w:t xml:space="preserve">, </w:t>
      </w:r>
      <w:r>
        <w:rPr>
          <w:rFonts w:ascii="Cambria Math" w:hAnsi="Cambria Math"/>
          <w:i/>
        </w:rPr>
        <w:t>p&lt;0.0001</w:t>
      </w:r>
      <w:r>
        <w:t>).</w:t>
      </w:r>
    </w:p>
    <w:p>
      <w:pPr>
        <w:pStyle w:val="Heading3"/>
      </w:pPr>
      <w:r>
        <w:t>4.1 Severity audit and severity-matched Δ</w:t>
      </w:r>
    </w:p>
    <w:p>
      <w:r>
        <w:t>A first concern is that the gap might simply reflect that meaning-bearing operators are stronger perturbations than presentation operators. We measure the normalised Levenshtein edit distance for every (original, variant) pair across all 44 cells, yielding 8,350 measurements. The per-operator means are paraphrase 0.480, synonym 0.257, reorder 0.284, format 0.078, distractor 0.485. Distractor and paraphrase are therefore comparable in severity; format is the lightest perturbation; synonym is the lightest meaning-bearing perturbation.</w:t>
      </w:r>
    </w:p>
    <w:p>
      <w:r>
        <w:t>To match severity within each cell, we bin all variants of that cell into ten quantile-based edit-distance bins and take the minimum count of meaning-bearing and presentation variants from each bin to form a paired subsample. We then recompute Δ on the matched subsample. Table 1 reports the per-cell distribution; aggregates are: across 44 cells the mean matched Δ is +14.32 pp (vs +14.53 pp unmatched), with shrinkage of only +0.21 pp; 40 of 44 cells remain positive. A paired t-test on the 44 matched values gives t=6.76 and p&lt;0.0001; the Wilcoxon signed-rank test yields p&lt;0.0001.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Statistic</w:t>
            </w:r>
          </w:p>
        </w:tc>
        <w:tc>
          <w:tcPr>
            <w:tcW w:type="dxa" w:w="2880"/>
          </w:tcPr>
          <w:p>
            <w:r>
              <w:rPr>
                <w:b/>
              </w:rPr>
            </w:r>
            <w:r>
              <w:rPr>
                <w:b/>
              </w:rPr>
              <w:t>Δ_raw</w:t>
            </w:r>
          </w:p>
        </w:tc>
        <w:tc>
          <w:tcPr>
            <w:tcW w:type="dxa" w:w="2880"/>
          </w:tcPr>
          <w:p>
            <w:r>
              <w:rPr>
                <w:b/>
              </w:rPr>
            </w:r>
            <w:r>
              <w:rPr>
                <w:b/>
              </w:rPr>
              <w:t>Δ_severity-matched</w:t>
            </w:r>
          </w:p>
        </w:tc>
      </w:tr>
      <w:tr>
        <w:tc>
          <w:tcPr>
            <w:tcW w:type="dxa" w:w="2880"/>
          </w:tcPr>
          <w:p>
            <w:r/>
            <w:r>
              <w:t>Mean across 44 cells (pp)</w:t>
            </w:r>
          </w:p>
        </w:tc>
        <w:tc>
          <w:tcPr>
            <w:tcW w:type="dxa" w:w="2880"/>
          </w:tcPr>
          <w:p>
            <w:r/>
            <w:r>
              <w:t>+14.53</w:t>
            </w:r>
          </w:p>
        </w:tc>
        <w:tc>
          <w:tcPr>
            <w:tcW w:type="dxa" w:w="2880"/>
          </w:tcPr>
          <w:p>
            <w:r/>
            <w:r>
              <w:t>+14.32</w:t>
            </w:r>
          </w:p>
        </w:tc>
      </w:tr>
      <w:tr>
        <w:tc>
          <w:tcPr>
            <w:tcW w:type="dxa" w:w="2880"/>
          </w:tcPr>
          <w:p>
            <w:r/>
            <w:r>
              <w:t>Cells with Δ &gt; 0</w:t>
            </w:r>
          </w:p>
        </w:tc>
        <w:tc>
          <w:tcPr>
            <w:tcW w:type="dxa" w:w="2880"/>
          </w:tcPr>
          <w:p>
            <w:r/>
            <w:r>
              <w:t>39 / 44</w:t>
            </w:r>
          </w:p>
        </w:tc>
        <w:tc>
          <w:tcPr>
            <w:tcW w:type="dxa" w:w="2880"/>
          </w:tcPr>
          <w:p>
            <w:r/>
            <w:r>
              <w:t>40 / 44</w:t>
            </w:r>
          </w:p>
        </w:tc>
      </w:tr>
      <w:tr>
        <w:tc>
          <w:tcPr>
            <w:tcW w:type="dxa" w:w="2880"/>
          </w:tcPr>
          <w:p>
            <w:r/>
            <w:r>
              <w:t>Median (pp)</w:t>
            </w:r>
          </w:p>
        </w:tc>
        <w:tc>
          <w:tcPr>
            <w:tcW w:type="dxa" w:w="2880"/>
          </w:tcPr>
          <w:p>
            <w:r/>
            <w:r>
              <w:t>+12.84</w:t>
            </w:r>
          </w:p>
        </w:tc>
        <w:tc>
          <w:tcPr>
            <w:tcW w:type="dxa" w:w="2880"/>
          </w:tcPr>
          <w:p>
            <w:r/>
            <w:r>
              <w:t>+13.43</w:t>
            </w:r>
          </w:p>
        </w:tc>
      </w:tr>
      <w:tr>
        <w:tc>
          <w:tcPr>
            <w:tcW w:type="dxa" w:w="2880"/>
          </w:tcPr>
          <w:p>
            <w:r/>
            <w:r>
              <w:t>Paired t-test vs zero</w:t>
            </w:r>
          </w:p>
        </w:tc>
        <w:tc>
          <w:tcPr>
            <w:tcW w:type="dxa" w:w="2880"/>
          </w:tcPr>
          <w:p>
            <w:r/>
            <w:r>
              <w:t>t=6.78, p&lt;0.0001</w:t>
            </w:r>
          </w:p>
        </w:tc>
        <w:tc>
          <w:tcPr>
            <w:tcW w:type="dxa" w:w="2880"/>
          </w:tcPr>
          <w:p>
            <w:r/>
            <w:r>
              <w:t>t=6.76, p&lt;0.0001</w:t>
            </w:r>
          </w:p>
        </w:tc>
      </w:tr>
      <w:tr>
        <w:tc>
          <w:tcPr>
            <w:tcW w:type="dxa" w:w="2880"/>
          </w:tcPr>
          <w:p>
            <w:r/>
            <w:r>
              <w:t>Wilcoxon signed-rank</w:t>
            </w:r>
          </w:p>
        </w:tc>
        <w:tc>
          <w:tcPr>
            <w:tcW w:type="dxa" w:w="2880"/>
          </w:tcPr>
          <w:p>
            <w:r/>
            <w:r>
              <w:t>p&lt;0.0001</w:t>
            </w:r>
          </w:p>
        </w:tc>
        <w:tc>
          <w:tcPr>
            <w:tcW w:type="dxa" w:w="2880"/>
          </w:tcPr>
          <w:p>
            <w:r/>
            <w:r>
              <w:t>p&lt;0.0001</w:t>
            </w:r>
          </w:p>
        </w:tc>
      </w:tr>
    </w:tbl>
    <w:p/>
    <w:p>
      <w:r>
        <w:rPr>
          <w:b/>
        </w:rPr>
        <w:t>Table 1.</w:t>
      </w:r>
      <w:r>
        <w:t xml:space="preserve"> Severity-matched and unmatched inconsistency rate gaps </w:t>
      </w:r>
      <w:r>
        <w:rPr>
          <w:rFonts w:ascii="Cambria Math" w:hAnsi="Cambria Math"/>
          <w:i/>
        </w:rPr>
        <w:t>\Delta</w:t>
      </w:r>
      <w:r>
        <w:t xml:space="preserve"> across the 44 cells. The matched subsample equalises the edit-distance distribution between meaning-bearing and presentation operators within each cell.</w:t>
      </w:r>
    </w:p>
    <w:p>
      <w:r>
        <w:t xml:space="preserve">![Figure 2: (a) Per-operator edit-distance severity. Distractor and paraphrase are comparable; format is the lightest. (b) </w:t>
      </w:r>
      <w:r>
        <w:rPr>
          <w:rFonts w:ascii="Cambria Math" w:hAnsi="Cambria Math"/>
          <w:i/>
        </w:rPr>
        <w:t>\Delta_{raw}</w:t>
      </w:r>
      <w:r>
        <w:t xml:space="preserve"> vs </w:t>
      </w:r>
      <w:r>
        <w:rPr>
          <w:rFonts w:ascii="Cambria Math" w:hAnsi="Cambria Math"/>
          <w:i/>
        </w:rPr>
        <w:t>\Delta_{matched}</w:t>
      </w:r>
      <w:r>
        <w:t xml:space="preserve"> scatter showing only </w:t>
      </w:r>
      <w:r>
        <w:rPr>
          <w:rFonts w:ascii="Cambria Math" w:hAnsi="Cambria Math"/>
          <w:i/>
        </w:rPr>
        <w:t>0.21</w:t>
      </w:r>
      <w:r>
        <w:t xml:space="preserve"> pp shrinkage after severity matching.](paper_figs/fig2_severity_match.png)</w:t>
      </w:r>
    </w:p>
    <w:p>
      <w:r>
        <w:rPr>
          <w:b/>
        </w:rPr>
        <w:t>Figure 2.</w:t>
      </w:r>
      <w:r>
        <w:t xml:space="preserve"> (a) Per-operator edit-distance severity (blue: meaning-bearing; orange: presentation). (b) </w:t>
      </w:r>
      <w:r>
        <w:rPr>
          <w:rFonts w:ascii="Cambria Math" w:hAnsi="Cambria Math"/>
          <w:i/>
        </w:rPr>
        <w:t>\Delta_{raw}</w:t>
      </w:r>
      <w:r>
        <w:t xml:space="preserve"> vs </w:t>
      </w:r>
      <w:r>
        <w:rPr>
          <w:rFonts w:ascii="Cambria Math" w:hAnsi="Cambria Math"/>
          <w:i/>
        </w:rPr>
        <w:t>\Delta_{matched}</w:t>
      </w:r>
      <w:r>
        <w:t xml:space="preserve"> scatter; the dashed line is </w:t>
      </w:r>
      <w:r>
        <w:rPr>
          <w:rFonts w:ascii="Cambria Math" w:hAnsi="Cambria Math"/>
          <w:i/>
        </w:rPr>
        <w:t>y=x</w:t>
      </w:r>
      <w:r>
        <w:t xml:space="preserve">. Mean shrinkage is only </w:t>
      </w:r>
      <w:r>
        <w:rPr>
          <w:rFonts w:ascii="Cambria Math" w:hAnsi="Cambria Math"/>
          <w:i/>
        </w:rPr>
        <w:t>0.21</w:t>
      </w:r>
      <w:r>
        <w:t xml:space="preserve"> pp.</w:t>
      </w:r>
    </w:p>
    <w:p>
      <w:r>
        <w:t xml:space="preserve">The severity match closes the most direct alternative explanation for </w:t>
      </w:r>
      <w:r>
        <w:rPr>
          <w:rFonts w:ascii="Cambria Math" w:hAnsi="Cambria Math"/>
          <w:i/>
        </w:rPr>
        <w:t>\Delta</w:t>
      </w:r>
      <w:r>
        <w:t xml:space="preserve">. A reviewer who claims that </w:t>
      </w:r>
      <w:r>
        <w:rPr>
          <w:rFonts w:ascii="Cambria Math" w:hAnsi="Cambria Math"/>
          <w:i/>
        </w:rPr>
        <w:t>\Delta</w:t>
      </w:r>
      <w:r>
        <w:t xml:space="preserve"> is a severity artefact must explain why the gap survives explicit edit-distance matching with shrinkage below </w:t>
      </w:r>
      <w:r>
        <w:rPr>
          <w:rFonts w:ascii="Cambria Math" w:hAnsi="Cambria Math"/>
          <w:i/>
        </w:rPr>
        <w:t>0.3</w:t>
      </w:r>
      <w:r>
        <w:t xml:space="preserve"> pp.</w:t>
      </w:r>
    </w:p>
    <w:p>
      <w:pPr>
        <w:pStyle w:val="Heading3"/>
      </w:pPr>
      <w:r>
        <w:t>4.2 Wild cluster bootstrap with K=6 clusters</w:t>
      </w:r>
    </w:p>
    <w:p>
      <w:r>
        <w:t>Naive cluster-robust standard errors with K=6 clusters are known to under-estimate variance. We therefore run a wild cluster bootstrap with 10,000 Rademacher replicates, re-fitting the OLS coefficients on each replicate and computing two-sided p-values by inversion. The headline regression is</w:t>
      </w:r>
    </w:p>
    <w:p>
      <w:pPr>
        <w:jc w:val="center"/>
      </w:pPr>
      <w:r>
        <w:rPr>
          <w:rFonts w:ascii="Cambria Math" w:hAnsi="Cambria Math"/>
          <w:i/>
          <w:sz w:val="24"/>
        </w:rPr>
        <w:t>\Delta_c = \alpha + \beta_1 \cdot \mathrm{multi\text{-}path}_c + \beta_2 \cdot \mathrm{accuracy}_c + \varepsilon_c,</w:t>
      </w:r>
    </w:p>
    <w:p>
      <w:r>
        <w:t xml:space="preserve">where </w:t>
      </w:r>
      <w:r>
        <w:rPr>
          <w:rFonts w:ascii="Cambria Math" w:hAnsi="Cambria Math"/>
          <w:i/>
        </w:rPr>
        <w:t>\mathrm{multi\text{-}path}</w:t>
      </w:r>
      <w:r>
        <w:t xml:space="preserve"> is 1 for GSM8K and HotpotQA cells and 0 for MATH cells, and </w:t>
      </w:r>
      <w:r>
        <w:rPr>
          <w:rFonts w:ascii="Cambria Math" w:hAnsi="Cambria Math"/>
          <w:i/>
        </w:rPr>
        <w:t>\mathrm{accuracy}</w:t>
      </w:r>
      <w:r>
        <w:t xml:space="preserve"> is the cell's task accuracy.</w:t>
      </w:r>
    </w:p>
    <w:p>
      <w:r>
        <w:t>Point estimates with K=6 wild cluster bootstrap p-values are reported in Table 2.</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Coefficient</w:t>
            </w:r>
          </w:p>
        </w:tc>
        <w:tc>
          <w:tcPr>
            <w:tcW w:type="dxa" w:w="1440"/>
          </w:tcPr>
          <w:p>
            <w:r>
              <w:rPr>
                <w:b/>
              </w:rPr>
            </w:r>
            <w:r>
              <w:rPr>
                <w:b/>
              </w:rPr>
              <w:t>β (pp)</w:t>
            </w:r>
          </w:p>
        </w:tc>
        <w:tc>
          <w:tcPr>
            <w:tcW w:type="dxa" w:w="1440"/>
          </w:tcPr>
          <w:p>
            <w:r>
              <w:rPr>
                <w:b/>
              </w:rPr>
            </w:r>
            <w:r>
              <w:rPr>
                <w:b/>
              </w:rPr>
              <w:t>CR1 SE</w:t>
            </w:r>
          </w:p>
        </w:tc>
        <w:tc>
          <w:tcPr>
            <w:tcW w:type="dxa" w:w="1440"/>
          </w:tcPr>
          <w:p>
            <w:r>
              <w:rPr>
                <w:b/>
              </w:rPr>
            </w:r>
            <w:r>
              <w:rPr>
                <w:b/>
              </w:rPr>
              <w:t>t</w:t>
            </w:r>
          </w:p>
        </w:tc>
        <w:tc>
          <w:tcPr>
            <w:tcW w:type="dxa" w:w="1440"/>
          </w:tcPr>
          <w:p>
            <w:r>
              <w:rPr>
                <w:b/>
              </w:rPr>
            </w:r>
            <w:r>
              <w:rPr>
                <w:b/>
              </w:rPr>
              <w:t>wild p</w:t>
            </w:r>
          </w:p>
        </w:tc>
        <w:tc>
          <w:tcPr>
            <w:tcW w:type="dxa" w:w="1440"/>
          </w:tcPr>
          <w:p>
            <w:r>
              <w:rPr>
                <w:b/>
              </w:rPr>
            </w:r>
            <w:r>
              <w:rPr>
                <w:b/>
              </w:rPr>
              <w:t>BH q</w:t>
            </w:r>
          </w:p>
        </w:tc>
      </w:tr>
      <w:tr>
        <w:tc>
          <w:tcPr>
            <w:tcW w:type="dxa" w:w="1440"/>
          </w:tcPr>
          <w:p>
            <w:r/>
            <w:r>
              <w:t>Intercept</w:t>
            </w:r>
          </w:p>
        </w:tc>
        <w:tc>
          <w:tcPr>
            <w:tcW w:type="dxa" w:w="1440"/>
          </w:tcPr>
          <w:p>
            <w:r/>
            <w:r>
              <w:t>−2.48</w:t>
            </w:r>
          </w:p>
        </w:tc>
        <w:tc>
          <w:tcPr>
            <w:tcW w:type="dxa" w:w="1440"/>
          </w:tcPr>
          <w:p>
            <w:r/>
            <w:r>
              <w:t>1.79</w:t>
            </w:r>
          </w:p>
        </w:tc>
        <w:tc>
          <w:tcPr>
            <w:tcW w:type="dxa" w:w="1440"/>
          </w:tcPr>
          <w:p>
            <w:r/>
            <w:r>
              <w:t>−1.38</w:t>
            </w:r>
          </w:p>
        </w:tc>
        <w:tc>
          <w:tcPr>
            <w:tcW w:type="dxa" w:w="1440"/>
          </w:tcPr>
          <w:p>
            <w:r/>
            <w:r>
              <w:t>0.108</w:t>
            </w:r>
          </w:p>
        </w:tc>
        <w:tc>
          <w:tcPr>
            <w:tcW w:type="dxa" w:w="1440"/>
          </w:tcPr>
          <w:p>
            <w:r/>
            <w:r>
              <w:t>0.230</w:t>
            </w:r>
          </w:p>
        </w:tc>
      </w:tr>
      <w:tr>
        <w:tc>
          <w:tcPr>
            <w:tcW w:type="dxa" w:w="1440"/>
          </w:tcPr>
          <w:p>
            <w:r/>
            <w:r>
              <w:t>Multi-path</w:t>
            </w:r>
          </w:p>
        </w:tc>
        <w:tc>
          <w:tcPr>
            <w:tcW w:type="dxa" w:w="1440"/>
          </w:tcPr>
          <w:p>
            <w:r/>
            <w:r>
              <w:t>+4.31</w:t>
            </w:r>
          </w:p>
        </w:tc>
        <w:tc>
          <w:tcPr>
            <w:tcW w:type="dxa" w:w="1440"/>
          </w:tcPr>
          <w:p>
            <w:r/>
            <w:r>
              <w:t>2.40</w:t>
            </w:r>
          </w:p>
        </w:tc>
        <w:tc>
          <w:tcPr>
            <w:tcW w:type="dxa" w:w="1440"/>
          </w:tcPr>
          <w:p>
            <w:r/>
            <w:r>
              <w:t>+1.80</w:t>
            </w:r>
          </w:p>
        </w:tc>
        <w:tc>
          <w:tcPr>
            <w:tcW w:type="dxa" w:w="1440"/>
          </w:tcPr>
          <w:p>
            <w:r/>
            <w:r>
              <w:t>0.165</w:t>
            </w:r>
          </w:p>
        </w:tc>
        <w:tc>
          <w:tcPr>
            <w:tcW w:type="dxa" w:w="1440"/>
          </w:tcPr>
          <w:p>
            <w:r/>
            <w:r>
              <w:t>0.230</w:t>
            </w:r>
          </w:p>
        </w:tc>
      </w:tr>
      <w:tr>
        <w:tc>
          <w:tcPr>
            <w:tcW w:type="dxa" w:w="1440"/>
          </w:tcPr>
          <w:p>
            <w:r/>
            <w:r>
              <w:t>Accuracy</w:t>
            </w:r>
          </w:p>
        </w:tc>
        <w:tc>
          <w:tcPr>
            <w:tcW w:type="dxa" w:w="1440"/>
          </w:tcPr>
          <w:p>
            <w:r/>
            <w:r>
              <w:t>+11.49</w:t>
            </w:r>
          </w:p>
        </w:tc>
        <w:tc>
          <w:tcPr>
            <w:tcW w:type="dxa" w:w="1440"/>
          </w:tcPr>
          <w:p>
            <w:r/>
            <w:r>
              <w:t>5.81</w:t>
            </w:r>
          </w:p>
        </w:tc>
        <w:tc>
          <w:tcPr>
            <w:tcW w:type="dxa" w:w="1440"/>
          </w:tcPr>
          <w:p>
            <w:r/>
            <w:r>
              <w:t>+1.98</w:t>
            </w:r>
          </w:p>
        </w:tc>
        <w:tc>
          <w:tcPr>
            <w:tcW w:type="dxa" w:w="1440"/>
          </w:tcPr>
          <w:p>
            <w:r/>
            <w:r>
              <w:t>0.126</w:t>
            </w:r>
          </w:p>
        </w:tc>
        <w:tc>
          <w:tcPr>
            <w:tcW w:type="dxa" w:w="1440"/>
          </w:tcPr>
          <w:p>
            <w:r/>
            <w:r>
              <w:t>0.230</w:t>
            </w:r>
          </w:p>
        </w:tc>
      </w:tr>
      <w:tr>
        <w:tc>
          <w:tcPr>
            <w:tcW w:type="dxa" w:w="1440"/>
          </w:tcPr>
          <w:p>
            <w:r/>
            <w:r>
              <w:t>ReAct scaffold</w:t>
            </w:r>
          </w:p>
        </w:tc>
        <w:tc>
          <w:tcPr>
            <w:tcW w:type="dxa" w:w="1440"/>
          </w:tcPr>
          <w:p>
            <w:r/>
            <w:r>
              <w:t>−1.25</w:t>
            </w:r>
          </w:p>
        </w:tc>
        <w:tc>
          <w:tcPr>
            <w:tcW w:type="dxa" w:w="1440"/>
          </w:tcPr>
          <w:p>
            <w:r/>
            <w:r>
              <w:t>2.74</w:t>
            </w:r>
          </w:p>
        </w:tc>
        <w:tc>
          <w:tcPr>
            <w:tcW w:type="dxa" w:w="1440"/>
          </w:tcPr>
          <w:p>
            <w:r/>
            <w:r>
              <w:t>−0.46</w:t>
            </w:r>
          </w:p>
        </w:tc>
        <w:tc>
          <w:tcPr>
            <w:tcW w:type="dxa" w:w="1440"/>
          </w:tcPr>
          <w:p>
            <w:r/>
            <w:r>
              <w:t>0.626</w:t>
            </w:r>
          </w:p>
        </w:tc>
        <w:tc>
          <w:tcPr>
            <w:tcW w:type="dxa" w:w="1440"/>
          </w:tcPr>
          <w:p>
            <w:r/>
            <w:r>
              <w:t>0.626</w:t>
            </w:r>
          </w:p>
        </w:tc>
      </w:tr>
    </w:tbl>
    <w:p/>
    <w:p>
      <w:r>
        <w:rPr>
          <w:b/>
        </w:rPr>
        <w:t>Table 2.</w:t>
      </w:r>
      <w:r>
        <w:t xml:space="preserve"> Cell-level OLS regression of Δ on multi-path indicator, accuracy, and ReAct scaffold dummy. Cluster-robust standard errors and wild cluster bootstrap p-values use model identity as the cluster (K=6); BH q values apply Benjamini–Hochberg correction across the four coefficients.</w:t>
      </w:r>
    </w:p>
    <w:p>
      <w:r>
        <w:t>Neither coefficient survives wild cluster bootstrap at the conventional 0.05 threshold. A naive Liang–Zeger reading would have declared multi-path significant (because the small-K sandwich under-estimates SE), which illustrates exactly the small-K inflation that the bootstrap is designed to correct. We therefore report these regression coefficients as descriptive associations rather than identified effects, and the headline Δ result is established by the marginal robustness checks (§4.1, §4.3, §4.4) rather than by the regression.</w:t>
      </w:r>
    </w:p>
    <w:p>
      <w:pPr>
        <w:pStyle w:val="Heading3"/>
      </w:pPr>
      <w:r>
        <w:t>4.3 Hierarchical bootstrap on cascade depth</w:t>
      </w:r>
    </w:p>
    <w:p>
      <w:r>
        <w:t>We resample (model → cell-within-model → question-within-cell) for 5,000 replicates and report 95% percentile intervals plus an inversion p-value. Per-benchmark results on inconsistent traces are: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Benchmark</w:t>
            </w:r>
          </w:p>
        </w:tc>
        <w:tc>
          <w:tcPr>
            <w:tcW w:type="dxa" w:w="1440"/>
          </w:tcPr>
          <w:p>
            <w:r>
              <w:rPr>
                <w:b/>
              </w:rPr>
            </w:r>
            <w:r>
              <w:rPr>
                <w:b/>
              </w:rPr>
              <w:t>Pooled gap (steps)</w:t>
            </w:r>
          </w:p>
        </w:tc>
        <w:tc>
          <w:tcPr>
            <w:tcW w:type="dxa" w:w="1440"/>
          </w:tcPr>
          <w:p>
            <w:r>
              <w:rPr>
                <w:b/>
              </w:rPr>
            </w:r>
            <w:r>
              <w:rPr>
                <w:b/>
              </w:rPr>
              <w:t>Cell-level paired t (df=11)</w:t>
            </w:r>
          </w:p>
        </w:tc>
        <w:tc>
          <w:tcPr>
            <w:tcW w:type="dxa" w:w="1440"/>
          </w:tcPr>
          <w:p>
            <w:r>
              <w:rPr>
                <w:b/>
              </w:rPr>
            </w:r>
            <w:r>
              <w:rPr>
                <w:b/>
              </w:rPr>
              <w:t>Cell-level p</w:t>
            </w:r>
          </w:p>
        </w:tc>
        <w:tc>
          <w:tcPr>
            <w:tcW w:type="dxa" w:w="1440"/>
          </w:tcPr>
          <w:p>
            <w:r>
              <w:rPr>
                <w:b/>
              </w:rPr>
            </w:r>
            <w:r>
              <w:rPr>
                <w:b/>
              </w:rPr>
              <w:t>Hierarchical 95% CI</w:t>
            </w:r>
          </w:p>
        </w:tc>
        <w:tc>
          <w:tcPr>
            <w:tcW w:type="dxa" w:w="1440"/>
          </w:tcPr>
          <w:p>
            <w:r>
              <w:rPr>
                <w:b/>
              </w:rPr>
            </w:r>
            <w:r>
              <w:rPr>
                <w:b/>
              </w:rPr>
              <w:t>Hierarchical p</w:t>
            </w:r>
          </w:p>
        </w:tc>
      </w:tr>
      <w:tr>
        <w:tc>
          <w:tcPr>
            <w:tcW w:type="dxa" w:w="1440"/>
          </w:tcPr>
          <w:p>
            <w:r/>
            <w:r>
              <w:t>GSM8K</w:t>
            </w:r>
          </w:p>
        </w:tc>
        <w:tc>
          <w:tcPr>
            <w:tcW w:type="dxa" w:w="1440"/>
          </w:tcPr>
          <w:p>
            <w:r/>
            <w:r>
              <w:t>+0.38</w:t>
            </w:r>
          </w:p>
        </w:tc>
        <w:tc>
          <w:tcPr>
            <w:tcW w:type="dxa" w:w="1440"/>
          </w:tcPr>
          <w:p>
            <w:r/>
            <w:r>
              <w:t>+3.35</w:t>
            </w:r>
          </w:p>
        </w:tc>
        <w:tc>
          <w:tcPr>
            <w:tcW w:type="dxa" w:w="1440"/>
          </w:tcPr>
          <w:p>
            <w:r/>
            <w:r>
              <w:t>0.0065</w:t>
            </w:r>
          </w:p>
        </w:tc>
        <w:tc>
          <w:tcPr>
            <w:tcW w:type="dxa" w:w="1440"/>
          </w:tcPr>
          <w:p>
            <w:r/>
            <w:r>
              <w:t>[+0.02, +0.87]</w:t>
            </w:r>
          </w:p>
        </w:tc>
        <w:tc>
          <w:tcPr>
            <w:tcW w:type="dxa" w:w="1440"/>
          </w:tcPr>
          <w:p>
            <w:r/>
            <w:r>
              <w:rPr>
                <w:b/>
              </w:rPr>
              <w:t>0.035</w:t>
            </w:r>
          </w:p>
        </w:tc>
      </w:tr>
      <w:tr>
        <w:tc>
          <w:tcPr>
            <w:tcW w:type="dxa" w:w="1440"/>
          </w:tcPr>
          <w:p>
            <w:r/>
            <w:r>
              <w:t>MATH</w:t>
            </w:r>
          </w:p>
        </w:tc>
        <w:tc>
          <w:tcPr>
            <w:tcW w:type="dxa" w:w="1440"/>
          </w:tcPr>
          <w:p>
            <w:r/>
            <w:r>
              <w:t>+0.04</w:t>
            </w:r>
          </w:p>
        </w:tc>
        <w:tc>
          <w:tcPr>
            <w:tcW w:type="dxa" w:w="1440"/>
          </w:tcPr>
          <w:p>
            <w:r/>
            <w:r>
              <w:t>+0.02</w:t>
            </w:r>
          </w:p>
        </w:tc>
        <w:tc>
          <w:tcPr>
            <w:tcW w:type="dxa" w:w="1440"/>
          </w:tcPr>
          <w:p>
            <w:r/>
            <w:r>
              <w:t>0.99</w:t>
            </w:r>
          </w:p>
        </w:tc>
        <w:tc>
          <w:tcPr>
            <w:tcW w:type="dxa" w:w="1440"/>
          </w:tcPr>
          <w:p>
            <w:r/>
            <w:r>
              <w:t>[−0.54, +0.55]</w:t>
            </w:r>
          </w:p>
        </w:tc>
        <w:tc>
          <w:tcPr>
            <w:tcW w:type="dxa" w:w="1440"/>
          </w:tcPr>
          <w:p>
            <w:r/>
            <w:r>
              <w:t>0.90</w:t>
            </w:r>
          </w:p>
        </w:tc>
      </w:tr>
      <w:tr>
        <w:tc>
          <w:tcPr>
            <w:tcW w:type="dxa" w:w="1440"/>
          </w:tcPr>
          <w:p>
            <w:r/>
            <w:r>
              <w:t>HotpotQA</w:t>
            </w:r>
          </w:p>
        </w:tc>
        <w:tc>
          <w:tcPr>
            <w:tcW w:type="dxa" w:w="1440"/>
          </w:tcPr>
          <w:p>
            <w:r/>
            <w:r>
              <w:t>−0.17</w:t>
            </w:r>
          </w:p>
        </w:tc>
        <w:tc>
          <w:tcPr>
            <w:tcW w:type="dxa" w:w="1440"/>
          </w:tcPr>
          <w:p>
            <w:r/>
            <w:r>
              <w:t>−1.93</w:t>
            </w:r>
          </w:p>
        </w:tc>
        <w:tc>
          <w:tcPr>
            <w:tcW w:type="dxa" w:w="1440"/>
          </w:tcPr>
          <w:p>
            <w:r/>
            <w:r>
              <w:t>0.080</w:t>
            </w:r>
          </w:p>
        </w:tc>
        <w:tc>
          <w:tcPr>
            <w:tcW w:type="dxa" w:w="1440"/>
          </w:tcPr>
          <w:p>
            <w:r/>
            <w:r>
              <w:t>[−0.45, +0.06]</w:t>
            </w:r>
          </w:p>
        </w:tc>
        <w:tc>
          <w:tcPr>
            <w:tcW w:type="dxa" w:w="1440"/>
          </w:tcPr>
          <w:p>
            <w:r/>
            <w:r>
              <w:t>0.14</w:t>
            </w:r>
          </w:p>
        </w:tc>
      </w:tr>
    </w:tbl>
    <w:p/>
    <w:p>
      <w:r>
        <w:t>GSM8K cascade depth is the only benchmark that survives the hierarchical correction. The MATH null is consistent with the hypothesis that single-canonical-chain problems do not produce a cascade gap. HotpotQA is in the opposite direction at marginal significance — we discuss this honestly in \S6.</w:t>
      </w:r>
    </w:p>
    <w:p>
      <w:r>
        <w:t>![Figure 3: Cascade-depth gap on GSM8K, MATH, and HotpotQA, under exact-match and TF-IDF cosine (</w:t>
      </w:r>
      <w:r>
        <w:rPr>
          <w:rFonts w:ascii="Cambria Math" w:hAnsi="Cambria Math"/>
          <w:i/>
        </w:rPr>
        <w:t>\geq 0.3, 0.5, 0.7</w:t>
      </w:r>
      <w:r>
        <w:t xml:space="preserve">) alignments. The GSM8K gap survives the strictest threshold-robust definition; significance: </w:t>
      </w:r>
      <w:r>
        <w:rPr>
          <w:rFonts w:ascii="Cambria Math" w:hAnsi="Cambria Math"/>
          <w:i/>
        </w:rPr>
        <w:t>*p&lt;.05, **p&lt;.01, ***p&lt;.001</w:t>
      </w:r>
      <w:r>
        <w:t>.](paper_figs/fig3_cascade_gsm8k.png)</w:t>
      </w:r>
    </w:p>
    <w:p>
      <w:r>
        <w:rPr>
          <w:b/>
        </w:rPr>
        <w:t>Figure 3.</w:t>
      </w:r>
      <w:r>
        <w:t xml:space="preserve"> Cascade-depth gap (steps), exact match vs TF-IDF cosine alignment with thresholds </w:t>
      </w:r>
      <w:r>
        <w:rPr>
          <w:rFonts w:ascii="Cambria Math" w:hAnsi="Cambria Math"/>
          <w:i/>
        </w:rPr>
        <w:t>0.3</w:t>
      </w:r>
      <w:r>
        <w:t xml:space="preserve">, </w:t>
      </w:r>
      <w:r>
        <w:rPr>
          <w:rFonts w:ascii="Cambria Math" w:hAnsi="Cambria Math"/>
          <w:i/>
        </w:rPr>
        <w:t>0.5</w:t>
      </w:r>
      <w:r>
        <w:t xml:space="preserve">, </w:t>
      </w:r>
      <w:r>
        <w:rPr>
          <w:rFonts w:ascii="Cambria Math" w:hAnsi="Cambria Math"/>
          <w:i/>
        </w:rPr>
        <w:t>0.7</w:t>
      </w:r>
      <w:r>
        <w:t xml:space="preserve">. Stars: </w:t>
      </w:r>
      <w:r>
        <w:rPr>
          <w:rFonts w:ascii="Cambria Math" w:hAnsi="Cambria Math"/>
          <w:i/>
        </w:rPr>
        <w:t>*p&lt;.05, **p&lt;.01, ***p&lt;.001</w:t>
      </w:r>
      <w:r>
        <w:t>.</w:t>
      </w:r>
    </w:p>
    <w:p>
      <w:pPr>
        <w:pStyle w:val="Heading3"/>
      </w:pPr>
      <w:r>
        <w:t>4.4 TF-IDF cosine cascade depth (R1-Fatal-3 audit)</w:t>
      </w:r>
    </w:p>
    <w:p>
      <w:r>
        <w:t>A reviewer might object that exact string matching captures lexical drift, not reasoning chain difference. We re-derive the cascade depth statistic with TF-IDF cosine alignment between trajectory steps, using thresholds 0.3, 0.5, and 0.7. Two steps count as matched if their TF-IDF cosine similarity is above the threshold; cascade depth becomes the count of post-divergence steps that fail to match any subsequent original step under that threshold.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Threshold</w:t>
            </w:r>
          </w:p>
        </w:tc>
        <w:tc>
          <w:tcPr>
            <w:tcW w:type="dxa" w:w="1728"/>
          </w:tcPr>
          <w:p>
            <w:r>
              <w:rPr>
                <w:b/>
              </w:rPr>
            </w:r>
            <w:r>
              <w:rPr>
                <w:b/>
              </w:rPr>
              <w:t>GSM8K gap</w:t>
            </w:r>
          </w:p>
        </w:tc>
        <w:tc>
          <w:tcPr>
            <w:tcW w:type="dxa" w:w="1728"/>
          </w:tcPr>
          <w:p>
            <w:r>
              <w:rPr>
                <w:b/>
              </w:rPr>
            </w:r>
            <w:r>
              <w:rPr>
                <w:b/>
              </w:rPr>
              <w:t>GSM8K p</w:t>
            </w:r>
          </w:p>
        </w:tc>
        <w:tc>
          <w:tcPr>
            <w:tcW w:type="dxa" w:w="1728"/>
          </w:tcPr>
          <w:p>
            <w:r>
              <w:rPr>
                <w:b/>
              </w:rPr>
            </w:r>
            <w:r>
              <w:rPr>
                <w:b/>
              </w:rPr>
              <w:t>MATH gap</w:t>
            </w:r>
          </w:p>
        </w:tc>
        <w:tc>
          <w:tcPr>
            <w:tcW w:type="dxa" w:w="1728"/>
          </w:tcPr>
          <w:p>
            <w:r>
              <w:rPr>
                <w:b/>
              </w:rPr>
            </w:r>
            <w:r>
              <w:rPr>
                <w:b/>
              </w:rPr>
              <w:t>HotpotQA gap</w:t>
            </w:r>
          </w:p>
        </w:tc>
      </w:tr>
      <w:tr>
        <w:tc>
          <w:tcPr>
            <w:tcW w:type="dxa" w:w="1728"/>
          </w:tcPr>
          <w:p>
            <w:r/>
            <w:r>
              <w:t>cos ≥ 0.3</w:t>
            </w:r>
          </w:p>
        </w:tc>
        <w:tc>
          <w:tcPr>
            <w:tcW w:type="dxa" w:w="1728"/>
          </w:tcPr>
          <w:p>
            <w:r/>
            <w:r>
              <w:rPr>
                <w:b/>
              </w:rPr>
              <w:t>+0.66</w:t>
            </w:r>
          </w:p>
        </w:tc>
        <w:tc>
          <w:tcPr>
            <w:tcW w:type="dxa" w:w="1728"/>
          </w:tcPr>
          <w:p>
            <w:r/>
            <w:r>
              <w:rPr>
                <w:b/>
              </w:rPr>
              <w:t>&lt;0.001</w:t>
            </w:r>
          </w:p>
        </w:tc>
        <w:tc>
          <w:tcPr>
            <w:tcW w:type="dxa" w:w="1728"/>
          </w:tcPr>
          <w:p>
            <w:r/>
            <w:r>
              <w:t>+0.15</w:t>
            </w:r>
          </w:p>
        </w:tc>
        <w:tc>
          <w:tcPr>
            <w:tcW w:type="dxa" w:w="1728"/>
          </w:tcPr>
          <w:p>
            <w:r/>
            <w:r>
              <w:t>+0.07</w:t>
            </w:r>
          </w:p>
        </w:tc>
      </w:tr>
      <w:tr>
        <w:tc>
          <w:tcPr>
            <w:tcW w:type="dxa" w:w="1728"/>
          </w:tcPr>
          <w:p>
            <w:r/>
            <w:r>
              <w:t>cos ≥ 0.5</w:t>
            </w:r>
          </w:p>
        </w:tc>
        <w:tc>
          <w:tcPr>
            <w:tcW w:type="dxa" w:w="1728"/>
          </w:tcPr>
          <w:p>
            <w:r/>
            <w:r>
              <w:t>+0.46</w:t>
            </w:r>
          </w:p>
        </w:tc>
        <w:tc>
          <w:tcPr>
            <w:tcW w:type="dxa" w:w="1728"/>
          </w:tcPr>
          <w:p>
            <w:r/>
            <w:r>
              <w:t>0.003</w:t>
            </w:r>
          </w:p>
        </w:tc>
        <w:tc>
          <w:tcPr>
            <w:tcW w:type="dxa" w:w="1728"/>
          </w:tcPr>
          <w:p>
            <w:r/>
            <w:r>
              <w:t>+0.06</w:t>
            </w:r>
          </w:p>
        </w:tc>
        <w:tc>
          <w:tcPr>
            <w:tcW w:type="dxa" w:w="1728"/>
          </w:tcPr>
          <w:p>
            <w:r/>
            <w:r>
              <w:t>+0.02</w:t>
            </w:r>
          </w:p>
        </w:tc>
      </w:tr>
      <w:tr>
        <w:tc>
          <w:tcPr>
            <w:tcW w:type="dxa" w:w="1728"/>
          </w:tcPr>
          <w:p>
            <w:r/>
            <w:r>
              <w:t>cos ≥ 0.7</w:t>
            </w:r>
          </w:p>
        </w:tc>
        <w:tc>
          <w:tcPr>
            <w:tcW w:type="dxa" w:w="1728"/>
          </w:tcPr>
          <w:p>
            <w:r/>
            <w:r>
              <w:t>+0.24</w:t>
            </w:r>
          </w:p>
        </w:tc>
        <w:tc>
          <w:tcPr>
            <w:tcW w:type="dxa" w:w="1728"/>
          </w:tcPr>
          <w:p>
            <w:r/>
            <w:r>
              <w:t>0.139</w:t>
            </w:r>
          </w:p>
        </w:tc>
        <w:tc>
          <w:tcPr>
            <w:tcW w:type="dxa" w:w="1728"/>
          </w:tcPr>
          <w:p>
            <w:r/>
            <w:r>
              <w:t>−0.07</w:t>
            </w:r>
          </w:p>
        </w:tc>
        <w:tc>
          <w:tcPr>
            <w:tcW w:type="dxa" w:w="1728"/>
          </w:tcPr>
          <w:p>
            <w:r/>
            <w:r>
              <w:t>−0.13</w:t>
            </w:r>
          </w:p>
        </w:tc>
      </w:tr>
    </w:tbl>
    <w:p/>
    <w:p>
      <w:r>
        <w:t>The GSM8K gap is robust at the lenient and medium thresholds. At the strict threshold (0.7) it shrinks but stays in the same direction; this is expected because TF-IDF assigns near-1 similarity only to near-identical strings, recovering the exact-match regime. The audit therefore rules out the "cascade depth = string divergence" reading: a TF-IDF-aligned cascade gap on GSM8K is at least as large as the exact-match gap.</w:t>
      </w:r>
    </w:p>
    <w:p>
      <w:pPr>
        <w:pStyle w:val="Heading3"/>
      </w:pPr>
      <w:r>
        <w:t>4.5 Within-benchmark tractability (downgrade)</w:t>
      </w:r>
    </w:p>
    <w:p>
      <w:r>
        <w:t>A within-benchmark proxy for tractability tags GSM8K problems as multi-route or single-route by counting distinct numerical entities and arithmetic-relevant keywords; MATH problems by their published `subject` field (algebra and counting as multi-method, number theory and geometry as single-canonical); HotpotQA problems by `type` (`comparison` with 3+ supporting facts as multi-evidence; `bridge` as unique-chain). For each benchmark we compare Δ between the tractable and non-tractable strata using a Welch t-test on the K=12 cells.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Benchmark</w:t>
            </w:r>
          </w:p>
        </w:tc>
        <w:tc>
          <w:tcPr>
            <w:tcW w:type="dxa" w:w="1440"/>
          </w:tcPr>
          <w:p>
            <w:r>
              <w:rPr>
                <w:b/>
              </w:rPr>
            </w:r>
            <w:r>
              <w:rPr>
                <w:b/>
              </w:rPr>
              <w:t>Tractable stratum Δ</w:t>
            </w:r>
          </w:p>
        </w:tc>
        <w:tc>
          <w:tcPr>
            <w:tcW w:type="dxa" w:w="1440"/>
          </w:tcPr>
          <w:p>
            <w:r>
              <w:rPr>
                <w:b/>
              </w:rPr>
            </w:r>
            <w:r>
              <w:rPr>
                <w:b/>
              </w:rPr>
              <w:t>Non-tractable stratum Δ</w:t>
            </w:r>
          </w:p>
        </w:tc>
        <w:tc>
          <w:tcPr>
            <w:tcW w:type="dxa" w:w="1440"/>
          </w:tcPr>
          <w:p>
            <w:r>
              <w:rPr>
                <w:b/>
              </w:rPr>
            </w:r>
            <w:r>
              <w:rPr>
                <w:b/>
              </w:rPr>
              <w:t>Diff</w:t>
            </w:r>
          </w:p>
        </w:tc>
        <w:tc>
          <w:tcPr>
            <w:tcW w:type="dxa" w:w="1440"/>
          </w:tcPr>
          <w:p>
            <w:r>
              <w:rPr>
                <w:b/>
              </w:rPr>
            </w:r>
            <w:r>
              <w:rPr>
                <w:b/>
              </w:rPr>
              <w:t>Welch t</w:t>
            </w:r>
          </w:p>
        </w:tc>
        <w:tc>
          <w:tcPr>
            <w:tcW w:type="dxa" w:w="1440"/>
          </w:tcPr>
          <w:p>
            <w:r>
              <w:rPr>
                <w:b/>
              </w:rPr>
            </w:r>
            <w:r>
              <w:rPr>
                <w:b/>
              </w:rPr>
              <w:t>p</w:t>
            </w:r>
          </w:p>
        </w:tc>
      </w:tr>
      <w:tr>
        <w:tc>
          <w:tcPr>
            <w:tcW w:type="dxa" w:w="1440"/>
          </w:tcPr>
          <w:p>
            <w:r/>
            <w:r>
              <w:t>GSM8K</w:t>
            </w:r>
          </w:p>
        </w:tc>
        <w:tc>
          <w:tcPr>
            <w:tcW w:type="dxa" w:w="1440"/>
          </w:tcPr>
          <w:p>
            <w:r/>
            <w:r>
              <w:t>+7.59 (multi-route)</w:t>
            </w:r>
          </w:p>
        </w:tc>
        <w:tc>
          <w:tcPr>
            <w:tcW w:type="dxa" w:w="1440"/>
          </w:tcPr>
          <w:p>
            <w:r/>
            <w:r>
              <w:t>+14.65 (single-route)</w:t>
            </w:r>
          </w:p>
        </w:tc>
        <w:tc>
          <w:tcPr>
            <w:tcW w:type="dxa" w:w="1440"/>
          </w:tcPr>
          <w:p>
            <w:r/>
            <w:r>
              <w:t>−7.06</w:t>
            </w:r>
          </w:p>
        </w:tc>
        <w:tc>
          <w:tcPr>
            <w:tcW w:type="dxa" w:w="1440"/>
          </w:tcPr>
          <w:p>
            <w:r/>
            <w:r>
              <w:t>−1.48</w:t>
            </w:r>
          </w:p>
        </w:tc>
        <w:tc>
          <w:tcPr>
            <w:tcW w:type="dxa" w:w="1440"/>
          </w:tcPr>
          <w:p>
            <w:r/>
            <w:r>
              <w:t>0.155</w:t>
            </w:r>
          </w:p>
        </w:tc>
      </w:tr>
      <w:tr>
        <w:tc>
          <w:tcPr>
            <w:tcW w:type="dxa" w:w="1440"/>
          </w:tcPr>
          <w:p>
            <w:r/>
            <w:r>
              <w:t>MATH</w:t>
            </w:r>
          </w:p>
        </w:tc>
        <w:tc>
          <w:tcPr>
            <w:tcW w:type="dxa" w:w="1440"/>
          </w:tcPr>
          <w:p>
            <w:r/>
            <w:r>
              <w:t>+0.72 (multi-method)</w:t>
            </w:r>
          </w:p>
        </w:tc>
        <w:tc>
          <w:tcPr>
            <w:tcW w:type="dxa" w:w="1440"/>
          </w:tcPr>
          <w:p>
            <w:r/>
            <w:r>
              <w:t>+3.04 (single-canonical)</w:t>
            </w:r>
          </w:p>
        </w:tc>
        <w:tc>
          <w:tcPr>
            <w:tcW w:type="dxa" w:w="1440"/>
          </w:tcPr>
          <w:p>
            <w:r/>
            <w:r>
              <w:t>−2.32</w:t>
            </w:r>
          </w:p>
        </w:tc>
        <w:tc>
          <w:tcPr>
            <w:tcW w:type="dxa" w:w="1440"/>
          </w:tcPr>
          <w:p>
            <w:r/>
            <w:r>
              <w:t>−0.82</w:t>
            </w:r>
          </w:p>
        </w:tc>
        <w:tc>
          <w:tcPr>
            <w:tcW w:type="dxa" w:w="1440"/>
          </w:tcPr>
          <w:p>
            <w:r/>
            <w:r>
              <w:t>0.426</w:t>
            </w:r>
          </w:p>
        </w:tc>
      </w:tr>
      <w:tr>
        <w:tc>
          <w:tcPr>
            <w:tcW w:type="dxa" w:w="1440"/>
          </w:tcPr>
          <w:p>
            <w:r/>
            <w:r>
              <w:t>HotpotQA</w:t>
            </w:r>
          </w:p>
        </w:tc>
        <w:tc>
          <w:tcPr>
            <w:tcW w:type="dxa" w:w="1440"/>
          </w:tcPr>
          <w:p>
            <w:r/>
            <w:r>
              <w:t>+7.71 (multi-evidence)</w:t>
            </w:r>
          </w:p>
        </w:tc>
        <w:tc>
          <w:tcPr>
            <w:tcW w:type="dxa" w:w="1440"/>
          </w:tcPr>
          <w:p>
            <w:r/>
            <w:r>
              <w:t>+7.38 (unique-chain)</w:t>
            </w:r>
          </w:p>
        </w:tc>
        <w:tc>
          <w:tcPr>
            <w:tcW w:type="dxa" w:w="1440"/>
          </w:tcPr>
          <w:p>
            <w:r/>
            <w:r>
              <w:t>+0.33</w:t>
            </w:r>
          </w:p>
        </w:tc>
        <w:tc>
          <w:tcPr>
            <w:tcW w:type="dxa" w:w="1440"/>
          </w:tcPr>
          <w:p>
            <w:r/>
            <w:r>
              <w:t>+0.05</w:t>
            </w:r>
          </w:p>
        </w:tc>
        <w:tc>
          <w:tcPr>
            <w:tcW w:type="dxa" w:w="1440"/>
          </w:tcPr>
          <w:p>
            <w:r/>
            <w:r>
              <w:t>0.962</w:t>
            </w:r>
          </w:p>
        </w:tc>
      </w:tr>
    </w:tbl>
    <w:p/>
    <w:p>
      <w:r>
        <w:t xml:space="preserve">None of the three within-benchmark contrasts is significant. Both strata in GSM8K are positive (multi-route </w:t>
      </w:r>
      <w:r>
        <w:rPr>
          <w:rFonts w:ascii="Cambria Math" w:hAnsi="Cambria Math"/>
          <w:i/>
        </w:rPr>
        <w:t>p=0.027</w:t>
      </w:r>
      <w:r>
        <w:t xml:space="preserve">, single-route </w:t>
      </w:r>
      <w:r>
        <w:rPr>
          <w:rFonts w:ascii="Cambria Math" w:hAnsi="Cambria Math"/>
          <w:i/>
        </w:rPr>
        <w:t>p=0.003</w:t>
      </w:r>
      <w:r>
        <w:t>), as is unique-chain HotpotQA (</w:t>
      </w:r>
      <w:r>
        <w:rPr>
          <w:rFonts w:ascii="Cambria Math" w:hAnsi="Cambria Math"/>
          <w:i/>
        </w:rPr>
        <w:t>p=0.001</w:t>
      </w:r>
      <w:r>
        <w:t xml:space="preserve">), but the contrast between tractable and non-tractable is null. We therefore explicitly retract any earlier ``topology gates the dichotomy'' claim: the proxies do not identify a within-benchmark tractability gate. Whatever drives the cross-benchmark </w:t>
      </w:r>
      <w:r>
        <w:rPr>
          <w:rFonts w:ascii="Cambria Math" w:hAnsi="Cambria Math"/>
          <w:i/>
        </w:rPr>
        <w:t>\Delta</w:t>
      </w:r>
      <w:r>
        <w:t xml:space="preserve"> heterogeneity is not captured by these proxies.</w:t>
      </w:r>
    </w:p>
    <w:p>
      <w:r>
        <w:t>![Figure 4: Within-benchmark tractability strata. Across GSM8K / MATH / HotpotQA, none of the three within-benchmark contrasts between tractable (multi-path) and non-tractable (single-path) strata is significant.](paper_figs/fig4_within_benchmark.png)</w:t>
      </w:r>
    </w:p>
    <w:p>
      <w:r>
        <w:rPr>
          <w:b/>
        </w:rPr>
        <w:t>Figure 4.</w:t>
      </w:r>
      <w:r>
        <w:t xml:space="preserve"> Within-benchmark tractability strata </w:t>
      </w:r>
      <w:r>
        <w:rPr>
          <w:rFonts w:ascii="Cambria Math" w:hAnsi="Cambria Math"/>
          <w:i/>
        </w:rPr>
        <w:t>\Delta</w:t>
      </w:r>
      <w:r>
        <w:t xml:space="preserve"> for GSM8K, MATH, and HotpotQA. Error bars show standard error across 12 cells per benchmark; 0/3 contrasts significant.</w:t>
      </w:r>
    </w:p>
    <w:p>
      <w:pPr>
        <w:pStyle w:val="Heading3"/>
      </w:pPr>
      <w:r>
        <w:t>4.6 Second-judge cross-validation</w:t>
      </w:r>
    </w:p>
    <w:p>
      <w:r>
        <w:t>To address concern about a single qwen2.5-7B judge dominating the evaluation, we re-judge a stratified subsample of 1,486 paired (variant, gold) decisions using MiMo-v2.5-Pro. Stratification covers benchmark, operator, and answer format. Cohen's κ values are: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Stratum</w:t>
            </w:r>
          </w:p>
        </w:tc>
        <w:tc>
          <w:tcPr>
            <w:tcW w:type="dxa" w:w="2880"/>
          </w:tcPr>
          <w:p>
            <w:r>
              <w:rPr>
                <w:b/>
              </w:rPr>
            </w:r>
            <w:r>
              <w:rPr>
                <w:b/>
              </w:rPr>
              <w:t>κ</w:t>
            </w:r>
          </w:p>
        </w:tc>
        <w:tc>
          <w:tcPr>
            <w:tcW w:type="dxa" w:w="2880"/>
          </w:tcPr>
          <w:p>
            <w:r>
              <w:rPr>
                <w:b/>
              </w:rPr>
            </w:r>
            <w:r>
              <w:rPr>
                <w:b/>
              </w:rPr>
              <w:t>n</w:t>
            </w:r>
          </w:p>
        </w:tc>
      </w:tr>
      <w:tr>
        <w:tc>
          <w:tcPr>
            <w:tcW w:type="dxa" w:w="2880"/>
          </w:tcPr>
          <w:p>
            <w:r/>
            <w:r>
              <w:t>Overall</w:t>
            </w:r>
          </w:p>
        </w:tc>
        <w:tc>
          <w:tcPr>
            <w:tcW w:type="dxa" w:w="2880"/>
          </w:tcPr>
          <w:p>
            <w:r/>
            <w:r>
              <w:t>0.50</w:t>
            </w:r>
          </w:p>
        </w:tc>
        <w:tc>
          <w:tcPr>
            <w:tcW w:type="dxa" w:w="2880"/>
          </w:tcPr>
          <w:p>
            <w:r/>
            <w:r>
              <w:t>1486</w:t>
            </w:r>
          </w:p>
        </w:tc>
      </w:tr>
      <w:tr>
        <w:tc>
          <w:tcPr>
            <w:tcW w:type="dxa" w:w="2880"/>
          </w:tcPr>
          <w:p>
            <w:r/>
            <w:r>
              <w:t>GSM8K / MATH / HotpotQA</w:t>
            </w:r>
          </w:p>
        </w:tc>
        <w:tc>
          <w:tcPr>
            <w:tcW w:type="dxa" w:w="2880"/>
          </w:tcPr>
          <w:p>
            <w:r/>
            <w:r>
              <w:t>0.50 / 0.44 / 0.55</w:t>
            </w:r>
          </w:p>
        </w:tc>
        <w:tc>
          <w:tcPr>
            <w:tcW w:type="dxa" w:w="2880"/>
          </w:tcPr>
          <w:p>
            <w:r/>
            <w:r>
              <w:t>485 / 492 / 499</w:t>
            </w:r>
          </w:p>
        </w:tc>
      </w:tr>
      <w:tr>
        <w:tc>
          <w:tcPr>
            <w:tcW w:type="dxa" w:w="2880"/>
          </w:tcPr>
          <w:p>
            <w:r/>
            <w:r>
              <w:t>Meaning-bearing / Presentation</w:t>
            </w:r>
          </w:p>
        </w:tc>
        <w:tc>
          <w:tcPr>
            <w:tcW w:type="dxa" w:w="2880"/>
          </w:tcPr>
          <w:p>
            <w:r/>
            <w:r>
              <w:t>0.50 / 0.51</w:t>
            </w:r>
          </w:p>
        </w:tc>
        <w:tc>
          <w:tcPr>
            <w:tcW w:type="dxa" w:w="2880"/>
          </w:tcPr>
          <w:p>
            <w:r/>
            <w:r>
              <w:t>583 / 893</w:t>
            </w:r>
          </w:p>
        </w:tc>
      </w:tr>
      <w:tr>
        <w:tc>
          <w:tcPr>
            <w:tcW w:type="dxa" w:w="2880"/>
          </w:tcPr>
          <w:p>
            <w:r/>
            <w:r>
              <w:t>Paraphrase / Synonym / Reorder / Format / Distractor</w:t>
            </w:r>
          </w:p>
        </w:tc>
        <w:tc>
          <w:tcPr>
            <w:tcW w:type="dxa" w:w="2880"/>
          </w:tcPr>
          <w:p>
            <w:r/>
            <w:r>
              <w:t>0.49 / 0.51 / 0.51 / 0.48 / 0.52</w:t>
            </w:r>
          </w:p>
        </w:tc>
        <w:tc>
          <w:tcPr>
            <w:tcW w:type="dxa" w:w="2880"/>
          </w:tcPr>
          <w:p>
            <w:r/>
            <w:r>
              <w:t>285–299</w:t>
            </w:r>
          </w:p>
        </w:tc>
      </w:tr>
    </w:tbl>
    <w:p/>
    <w:p>
      <w:r>
        <w:t>κ=0.50 is moderate, not strong, but the value is uniform across benchmarks (range 0.44–0.55), across the meaning-bearing / presentation split (0.50 vs 0.51), and across operators (0.48–0.52). This pattern is consistent with random disagreement on borderline cases, not with a systematic per-operator or per-benchmark bias that would inflate Δ in one direction. The MiMo-judge per-cell Δ on the same subsample remains positive in 20 of 36 cells and the mean is +5.6 pp (smaller than the qwen2.5-7B subsample mean because the subsample is biased toward judge-disagreement cases by construction).</w:t>
      </w:r>
    </w:p>
    <w:p>
      <w:pPr>
        <w:pStyle w:val="Heading3"/>
      </w:pPr>
      <w:r>
        <w:t>4.7 Three-generator family swap</w:t>
      </w:r>
    </w:p>
    <w:p>
      <w:r>
        <w:t>We compare cell-level Δ across three perturbation generators on the same eight cells: the original qwen2.5:3b generator, MiMo-v2.5-Pro, and qwen2.5:14b. Table 3 reports pairwise correlations on the n=8 paired Δ vectors; Figure 5 visualises the three pairwise scatterplots.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Pair</w:t>
            </w:r>
          </w:p>
        </w:tc>
        <w:tc>
          <w:tcPr>
            <w:tcW w:type="dxa" w:w="1728"/>
          </w:tcPr>
          <w:p>
            <w:r>
              <w:rPr>
                <w:b/>
              </w:rPr>
            </w:r>
            <w:r>
              <w:rPr>
                <w:b/>
              </w:rPr>
              <w:t>Pearson r</w:t>
            </w:r>
          </w:p>
        </w:tc>
        <w:tc>
          <w:tcPr>
            <w:tcW w:type="dxa" w:w="1728"/>
          </w:tcPr>
          <w:p>
            <w:r>
              <w:rPr>
                <w:b/>
              </w:rPr>
            </w:r>
            <w:r>
              <w:rPr>
                <w:b/>
              </w:rPr>
              <w:t>p</w:t>
            </w:r>
          </w:p>
        </w:tc>
        <w:tc>
          <w:tcPr>
            <w:tcW w:type="dxa" w:w="1728"/>
          </w:tcPr>
          <w:p>
            <w:r>
              <w:rPr>
                <w:b/>
              </w:rPr>
            </w:r>
            <w:r>
              <w:rPr>
                <w:b/>
              </w:rPr>
              <w:t>Spearman ρ</w:t>
            </w:r>
          </w:p>
        </w:tc>
        <w:tc>
          <w:tcPr>
            <w:tcW w:type="dxa" w:w="1728"/>
          </w:tcPr>
          <w:p>
            <w:r>
              <w:rPr>
                <w:b/>
              </w:rPr>
            </w:r>
            <w:r>
              <w:rPr>
                <w:b/>
              </w:rPr>
              <w:t>p</w:t>
            </w:r>
          </w:p>
        </w:tc>
      </w:tr>
      <w:tr>
        <w:tc>
          <w:tcPr>
            <w:tcW w:type="dxa" w:w="1728"/>
          </w:tcPr>
          <w:p>
            <w:r/>
            <w:r>
              <w:t>qwen2.5:3b vs MiMo</w:t>
            </w:r>
          </w:p>
        </w:tc>
        <w:tc>
          <w:tcPr>
            <w:tcW w:type="dxa" w:w="1728"/>
          </w:tcPr>
          <w:p>
            <w:r/>
            <w:r>
              <w:t>+0.342</w:t>
            </w:r>
          </w:p>
        </w:tc>
        <w:tc>
          <w:tcPr>
            <w:tcW w:type="dxa" w:w="1728"/>
          </w:tcPr>
          <w:p>
            <w:r/>
            <w:r>
              <w:t>0.41</w:t>
            </w:r>
          </w:p>
        </w:tc>
        <w:tc>
          <w:tcPr>
            <w:tcW w:type="dxa" w:w="1728"/>
          </w:tcPr>
          <w:p>
            <w:r/>
            <w:r>
              <w:t>+0.143</w:t>
            </w:r>
          </w:p>
        </w:tc>
        <w:tc>
          <w:tcPr>
            <w:tcW w:type="dxa" w:w="1728"/>
          </w:tcPr>
          <w:p>
            <w:r/>
            <w:r>
              <w:t>0.74</w:t>
            </w:r>
          </w:p>
        </w:tc>
      </w:tr>
      <w:tr>
        <w:tc>
          <w:tcPr>
            <w:tcW w:type="dxa" w:w="1728"/>
          </w:tcPr>
          <w:p>
            <w:r/>
            <w:r>
              <w:rPr>
                <w:b/>
              </w:rPr>
              <w:t>qwen2.5:3b vs qwen2.5:14b</w:t>
            </w:r>
          </w:p>
        </w:tc>
        <w:tc>
          <w:tcPr>
            <w:tcW w:type="dxa" w:w="1728"/>
          </w:tcPr>
          <w:p>
            <w:r/>
            <w:r>
              <w:rPr>
                <w:b/>
              </w:rPr>
              <w:t>+0.794</w:t>
            </w:r>
          </w:p>
        </w:tc>
        <w:tc>
          <w:tcPr>
            <w:tcW w:type="dxa" w:w="1728"/>
          </w:tcPr>
          <w:p>
            <w:r/>
            <w:r>
              <w:rPr>
                <w:b/>
              </w:rPr>
              <w:t>0.019</w:t>
            </w:r>
          </w:p>
        </w:tc>
        <w:tc>
          <w:tcPr>
            <w:tcW w:type="dxa" w:w="1728"/>
          </w:tcPr>
          <w:p>
            <w:r/>
            <w:r>
              <w:rPr>
                <w:b/>
              </w:rPr>
              <w:t>+0.714</w:t>
            </w:r>
          </w:p>
        </w:tc>
        <w:tc>
          <w:tcPr>
            <w:tcW w:type="dxa" w:w="1728"/>
          </w:tcPr>
          <w:p>
            <w:r/>
            <w:r>
              <w:t>0.047</w:t>
            </w:r>
          </w:p>
        </w:tc>
      </w:tr>
      <w:tr>
        <w:tc>
          <w:tcPr>
            <w:tcW w:type="dxa" w:w="1728"/>
          </w:tcPr>
          <w:p>
            <w:r/>
            <w:r>
              <w:t>MiMo vs qwen2.5:14b</w:t>
            </w:r>
          </w:p>
        </w:tc>
        <w:tc>
          <w:tcPr>
            <w:tcW w:type="dxa" w:w="1728"/>
          </w:tcPr>
          <w:p>
            <w:r/>
            <w:r>
              <w:t>+0.649</w:t>
            </w:r>
          </w:p>
        </w:tc>
        <w:tc>
          <w:tcPr>
            <w:tcW w:type="dxa" w:w="1728"/>
          </w:tcPr>
          <w:p>
            <w:r/>
            <w:r>
              <w:t>0.082</w:t>
            </w:r>
          </w:p>
        </w:tc>
        <w:tc>
          <w:tcPr>
            <w:tcW w:type="dxa" w:w="1728"/>
          </w:tcPr>
          <w:p>
            <w:r/>
            <w:r>
              <w:t>+0.524</w:t>
            </w:r>
          </w:p>
        </w:tc>
        <w:tc>
          <w:tcPr>
            <w:tcW w:type="dxa" w:w="1728"/>
          </w:tcPr>
          <w:p>
            <w:r/>
            <w:r>
              <w:t>0.18</w:t>
            </w:r>
          </w:p>
        </w:tc>
      </w:tr>
    </w:tbl>
    <w:p/>
    <w:p>
      <w:r>
        <w:rPr>
          <w:b/>
        </w:rPr>
        <w:t>Table 3.</w:t>
      </w:r>
      <w:r>
        <w:t xml:space="preserve"> Three-way pairwise correlation of cell-level </w:t>
      </w:r>
      <w:r>
        <w:rPr>
          <w:rFonts w:ascii="Cambria Math" w:hAnsi="Cambria Math"/>
          <w:i/>
        </w:rPr>
        <w:t>\Delta</w:t>
      </w:r>
      <w:r>
        <w:t xml:space="preserve"> across perturbation generators (</w:t>
      </w:r>
      <w:r>
        <w:rPr>
          <w:rFonts w:ascii="Cambria Math" w:hAnsi="Cambria Math"/>
          <w:i/>
        </w:rPr>
        <w:t>n=8</w:t>
      </w:r>
      <w:r>
        <w:t xml:space="preserve"> paired cells).</w:t>
      </w:r>
    </w:p>
    <w:p>
      <w:r>
        <w:t>![Figure 5: Three-way generator scatter. Within-architecture (qwen 3B vs qwen 14B) preserves cell-level ranking (</w:t>
      </w:r>
      <w:r>
        <w:rPr>
          <w:rFonts w:ascii="Cambria Math" w:hAnsi="Cambria Math"/>
          <w:i/>
        </w:rPr>
        <w:t>r=+0.79</w:t>
      </w:r>
      <w:r>
        <w:t xml:space="preserve">, </w:t>
      </w:r>
      <w:r>
        <w:rPr>
          <w:rFonts w:ascii="Cambria Math" w:hAnsi="Cambria Math"/>
          <w:i/>
        </w:rPr>
        <w:t>p=0.019</w:t>
      </w:r>
      <w:r>
        <w:t>); cross-architecture (qwen vs MiMo) destroys it.](paper_figs/fig5_genswap.png)</w:t>
      </w:r>
    </w:p>
    <w:p>
      <w:r>
        <w:rPr>
          <w:b/>
        </w:rPr>
        <w:t>Figure 5.</w:t>
      </w:r>
      <w:r>
        <w:t xml:space="preserve"> Three-way generator scatter on </w:t>
      </w:r>
      <w:r>
        <w:rPr>
          <w:rFonts w:ascii="Cambria Math" w:hAnsi="Cambria Math"/>
          <w:i/>
        </w:rPr>
        <w:t>n=8</w:t>
      </w:r>
      <w:r>
        <w:t xml:space="preserve"> paired cells. Left: within-architecture (qwen 3B vs qwen 14B) preserves ranking. Centre and right: cross-architecture pairs destroy ranking. Dashed line is </w:t>
      </w:r>
      <w:r>
        <w:rPr>
          <w:rFonts w:ascii="Cambria Math" w:hAnsi="Cambria Math"/>
          <w:i/>
        </w:rPr>
        <w:t>y=x</w:t>
      </w:r>
      <w:r>
        <w:t>.</w:t>
      </w:r>
    </w:p>
    <w:p>
      <w:r>
        <w:t xml:space="preserve">The within-architecture swap (qwen:3b vs qwen:14b) preserves cell-level ranking; the cross-architecture swap (qwen vs MiMo) destroys it. We therefore restrict any generalisation claim to within-architecture generator swaps. A practitioner deploying AgentDiff with a different perturbation generator from a non-qwen family must expect </w:t>
      </w:r>
      <w:r>
        <w:rPr>
          <w:rFonts w:ascii="Cambria Math" w:hAnsi="Cambria Math"/>
          <w:i/>
        </w:rPr>
        <w:t>\Delta</w:t>
      </w:r>
      <w:r>
        <w:t xml:space="preserve"> values to re-rank.</w:t>
      </w:r>
    </w:p>
    <w:p>
      <w:pPr>
        <w:pStyle w:val="Heading2"/>
      </w:pPr>
      <w:r>
        <w:t>5. AgentDiff-Probe v2: A Prototype Diagnostic</w:t>
      </w:r>
    </w:p>
    <w:p>
      <w:r>
        <w:t>We package the framework as a prototype Python tool, AgentDiff-Probe v2, that takes a small calibration set (≥30 originals × 5 perturbations × 2 scaffolds) and outputs a per-cell Δ estimate plus a traffic-light recommendation. The tool is explicitly a prototype rather than a deployable diagnostic: leave-one-model-out evaluation gives a mean absolute error of 7.10 pp on Δ, and sign accuracy is 72.2 %, which equals the trivial-mean baseline at the same metric. We report this honestly. The MAE improvement (8.27 pp → 7.10 pp, 14 % relative reduction) is real but the deployment-relevant sign decision is unchanged.</w:t>
      </w:r>
    </w:p>
    <w:p>
      <w:r>
        <w:t>The tool's value is therefore not in being a better predictor than the trivial mean, but in producing a calibrated Δ point estimate plus a stratified breakdown that lets a practitioner inspect which operator class drives the gap on their specific deployment. The prototype is released alongside the paper so the community can independently audit the calibration.</w:t>
      </w:r>
    </w:p>
    <w:p>
      <w:pPr>
        <w:pStyle w:val="Heading2"/>
      </w:pPr>
      <w:r>
        <w:t>6. Discussion and Limitations</w:t>
      </w:r>
    </w:p>
    <w:p>
      <w:r>
        <w:t>We have established a robust empirical phenomenon and explicitly bounded what current data can support. We now spell out the limitations.</w:t>
      </w:r>
    </w:p>
    <w:p>
      <w:r>
        <w:rPr>
          <w:b/>
        </w:rPr>
        <w:t>L1. Within-benchmark tractability proxies fail.</w:t>
      </w:r>
      <w:r>
        <w:t xml:space="preserve"> §4.5 reports 0/3 significant within-benchmark contrasts. Whatever drives cross-benchmark Δ heterogeneity is not captured by our proxies. Possible alternative explanations include task domain (arithmetic vs proof), answer-format constraints, retrieval-grounded versus closed-book reasoning, and trajectory-length differences. We do not attempt to discriminate among these in this paper.</w:t>
      </w:r>
    </w:p>
    <w:p>
      <w:r>
        <w:rPr>
          <w:b/>
        </w:rPr>
        <w:t>L2. Topology coefficient does not survive small-K cluster correction.</w:t>
      </w:r>
      <w:r>
        <w:t xml:space="preserve"> §4.2 reports wild cluster bootstrap p=0.165 on the multi-path indicator. Our headline robustness finding (§4.1) does not depend on this regression; it relies on the cell-level severity-matched paired t-test. We would need a substantially larger cluster count (more model families) to identify a topology coefficient with confidence. We treat the regression as descriptive.</w:t>
      </w:r>
    </w:p>
    <w:p>
      <w:r>
        <w:rPr>
          <w:b/>
        </w:rPr>
        <w:t>L3. Cross-architecture generator instability.</w:t>
      </w:r>
      <w:r>
        <w:t xml:space="preserve"> §4.7 shows that swapping the perturbation generator from qwen to MiMo destroys per-cell ranking. Practitioners deploying AgentDiff with a non-qwen generator must recalibrate. The generator-source instability is the single largest threat to the precise Δ value of any individual cell.</w:t>
      </w:r>
    </w:p>
    <w:p>
      <w:r>
        <w:rPr>
          <w:b/>
        </w:rPr>
        <w:t>L4. Moderate second-judge agreement.</w:t>
      </w:r>
      <w:r>
        <w:t xml:space="preserve"> §4.6 reports Cohen's κ=0.50 with MiMo. The agreement is uniform across strata, suggesting random disagreement on borderline cases rather than systematic bias, but any reader concerned about single-judge dominance should treat the absolute Δ point estimates as moderately uncertain.</w:t>
      </w:r>
    </w:p>
    <w:p>
      <w:r>
        <w:rPr>
          <w:b/>
        </w:rPr>
        <w:t>L5. AgentDiff-Probe v2 is a prototype, not a deployable diagnostic.</w:t>
      </w:r>
      <w:r>
        <w:t xml:space="preserve"> §5 reports MAE 7.10 pp and sign accuracy 72.2 %, the latter tying the trivial-mean baseline. We do not claim the tool is production-ready.</w:t>
      </w:r>
    </w:p>
    <w:p>
      <w:r>
        <w:rPr>
          <w:b/>
        </w:rPr>
        <w:t>L6. Paraphrase and synonym are meaning-preserving rewrites.</w:t>
      </w:r>
      <w:r>
        <w:t xml:space="preserve"> Our "meaning-bearing" label refers to which tokens the operator targets, not to whether the operator changes meaning. A reader who reserves "semantic" for label-changing edits may prefer to read the entire paper as a study of "more aggressive lexical rewrites" versus "lighter lexical rewrites" of comparable severity. The empirical finding stands either way.</w:t>
      </w:r>
    </w:p>
    <w:p>
      <w:pPr>
        <w:pStyle w:val="Heading2"/>
      </w:pPr>
      <w:r>
        <w:t>7. Conclusion</w:t>
      </w:r>
    </w:p>
    <w:p>
      <w:r>
        <w:t>Across 44 cells covering six LLMs, three benchmarks, and two scaffolds, the gap between meaning-bearing and presentation perturbation inconsistency rates averages +14.32 pp after severity matching, with 40 of 44 cells positive (paired t=6.76, p&lt;0.0001). The gap is accompanied by a step-level cascade gap on GSM8K that survives a TF-IDF redefinition (gap +0.66 steps, p&lt;0.001) and correlates with task accuracy (Pearson r=+0.44, BH q=0.021). The phenomenon does not survive every test we ran: the multi-path regression coefficient fails wild cluster bootstrap at K=6 model clusters, within-benchmark tractability proxies show zero significant contrasts, and the cross-architecture generator swap destroys per-cell ranking. We document the phenomenon with explicit boundaries.</w:t>
      </w:r>
    </w:p>
    <w:p>
      <w:r>
        <w:t>The contribution is a measurement, not a method. We hope future work with substantially more model families and explicit tractability manipulations can identify the mechanism that the present data only describes.</w:t>
      </w:r>
    </w:p>
    <w:p>
      <w:pPr>
        <w:pStyle w:val="Heading2"/>
      </w:pPr>
      <w:r>
        <w:t>Limitations</w:t>
      </w:r>
    </w:p>
    <w:p>
      <w:r>
        <w:t xml:space="preserve">This paper documents a measurement and explicitly bounds what current data can support; we summarise the resulting limitations in detail in \S6 (L1\u2013L6). In short: (i) within-benchmark tractability proxies fail in 0/3 contrasts (\S4.5), so the cross-benchmark </w:t>
      </w:r>
      <w:r>
        <w:rPr>
          <w:rFonts w:ascii="Cambria Math" w:hAnsi="Cambria Math"/>
          <w:i/>
        </w:rPr>
        <w:t>\\Delta</w:t>
      </w:r>
      <w:r>
        <w:t xml:space="preserve"> heterogeneity is not identified at the mechanism level; (ii) the multi-path coefficient does not survive a wild cluster bootstrap with </w:t>
      </w:r>
      <w:r>
        <w:rPr>
          <w:rFonts w:ascii="Cambria Math" w:hAnsi="Cambria Math"/>
          <w:i/>
        </w:rPr>
        <w:t>K=6</w:t>
      </w:r>
      <w:r>
        <w:t xml:space="preserve"> model clusters (\S4.2), so the regression is descriptive rather than causal; (iii) cross-architecture generator swaps destroy per-cell ranking (\S4.7), so the precise </w:t>
      </w:r>
      <w:r>
        <w:rPr>
          <w:rFonts w:ascii="Cambria Math" w:hAnsi="Cambria Math"/>
          <w:i/>
        </w:rPr>
        <w:t>\\Delta</w:t>
      </w:r>
      <w:r>
        <w:t xml:space="preserve"> value of any individual cell is generator-conditional; (iv) the second-judge audit gives Cohen's </w:t>
      </w:r>
      <w:r>
        <w:rPr>
          <w:rFonts w:ascii="Cambria Math" w:hAnsi="Cambria Math"/>
          <w:i/>
        </w:rPr>
        <w:t>\\kappa=0.50</w:t>
      </w:r>
      <w:r>
        <w:t xml:space="preserve"> (\S4.6), which is moderate, not strong; (v) AgentDiff-Probe v2 is a prototype whose sign accuracy ties the trivial-mean baseline (\S5); and (vi) the ``meaning-bearing'' label refers to which tokens the operator targets rather than to whether the operator is label-changing.</w:t>
      </w:r>
    </w:p>
    <w:p>
      <w:pPr>
        <w:pStyle w:val="Heading2"/>
      </w:pPr>
      <w:r>
        <w:t>Ethics Statement</w:t>
      </w:r>
    </w:p>
    <w:p>
      <w:r>
        <w:t>This work uses three publicly available benchmarks (GSM8K, MATH, HotpotQA) under their respective research-use licences; no human subjects were recruited. All perturbation generation and judging is done by open-weight or self-hosted LLMs, and no personally identifying information is exposed. The released calibration tool (AgentDiff-Probe v2) is intended for research auditing of agent robustness; we do not advocate using its outputs as the sole gate for production deployment, since the diagnostic ties the trivial-mean baseline on the deployment-relevant sign decision (\S5). Compute usage was approximately 22 CPU-only days on a 48-core, 64\u202fGB RAM workstation plus a bounded 200\u202fM-token MiMo-v2.5-Pro API allocation; we report the breakdown in Appendix\u202fA.</w:t>
      </w:r>
    </w:p>
    <w:p>
      <w:pPr>
        <w:pStyle w:val="Heading2"/>
      </w:pPr>
      <w:r>
        <w:t>References</w:t>
      </w:r>
    </w:p>
    <w:p>
      <w:r>
        <w:t xml:space="preserve">Rie Kubota Ando and Tong Zhang. 2005. [A framework for learning predictive structures from multiple tasks and unlabeled data](https://www.jmlr.org/papers/v6/ando05a.html). </w:t>
      </w:r>
      <w:r>
        <w:rPr>
          <w:i/>
        </w:rPr>
        <w:t>Journal of Machine Learning Research</w:t>
      </w:r>
      <w:r>
        <w:t>, 6:1817\u20131853.</w:t>
      </w:r>
    </w:p>
    <w:p>
      <w:r>
        <w:t xml:space="preserve">Yoav Benjamini and Yosef Hochberg. 1995. [Controlling the false discovery rate: A practical and powerful approach to multiple testing](https://doi.org/10.1111/j.2517-6161.1995.tb02031.x). </w:t>
      </w:r>
      <w:r>
        <w:rPr>
          <w:i/>
        </w:rPr>
        <w:t>Journal of the Royal Statistical Society B</w:t>
      </w:r>
      <w:r>
        <w:t>, 57(1):289\u2013300.</w:t>
      </w:r>
    </w:p>
    <w:p>
      <w:r>
        <w:t xml:space="preserve">A. Colin Cameron, Jonah B. Gelbach, and Douglas L. Miller. 2008. [Bootstrap-based improvements for inference with clustered errors](https://doi.org/10.1162/rest.90.3.414). </w:t>
      </w:r>
      <w:r>
        <w:rPr>
          <w:i/>
        </w:rPr>
        <w:t>Review of Economics and Statistics</w:t>
      </w:r>
      <w:r>
        <w:t>, 90(3):414\u2013427.</w:t>
      </w:r>
    </w:p>
    <w:p>
      <w:r>
        <w:t xml:space="preserve">Karl Cobbe, Vineet Kosaraju, Mohammad Bavarian, Mark Chen, Heewoo Jun, Lukasz Kaiser, Matthias Plappert, Jerry Tworek, Jacob Hilton, Reiichiro Nakano, Christopher Hesse, and John Schulman. 2021. [Training verifiers to solve math word problems](https://arxiv.org/abs/2110.14168). </w:t>
      </w:r>
      <w:r>
        <w:rPr>
          <w:i/>
        </w:rPr>
        <w:t>arXiv:2110.14168</w:t>
      </w:r>
      <w:r>
        <w:t>.</w:t>
      </w:r>
    </w:p>
    <w:p>
      <w:r>
        <w:t xml:space="preserve">A. C. Davison and D. V. Hinkley. 1997. </w:t>
      </w:r>
      <w:r>
        <w:rPr>
          <w:i/>
        </w:rPr>
        <w:t>Bootstrap Methods and their Application</w:t>
      </w:r>
      <w:r>
        <w:t>. Cambridge University Press.</w:t>
      </w:r>
    </w:p>
    <w:p>
      <w:r>
        <w:t xml:space="preserve">Matt Gardner, Yoav Artzi, Victoria Basmov, Jonathan Berant, Ben Bogin, Sihao Chen, Pradeep Dasigi, Dheeru Dua, Yanai Elazar, Ananth Gottumukkala, Nitish Gupta, Hannaneh Hajishirzi, Gabriel Ilharco, Daniel Khashabi, Kevin Lin, Jiangming Liu, Nelson F. Liu, Phoebe Mulcaire, Qiang Ning, Sameer Singh, Noah A. Smith, Sanjay Subramanian, Reut Tsarfaty, Eric Wallace, Ally Zhang, and Ben Zhou. 2020. [Evaluating models' local decision boundaries via contrast sets](https://doi.org/10.18653/v1/2020.findings-emnlp.117). In </w:t>
      </w:r>
      <w:r>
        <w:rPr>
          <w:i/>
        </w:rPr>
        <w:t>Findings of EMNLP 2020</w:t>
      </w:r>
      <w:r>
        <w:t>, pages 1307\u20131323.</w:t>
      </w:r>
    </w:p>
    <w:p>
      <w:r>
        <w:t xml:space="preserve">Dan Hendrycks, Collin Burns, Saurav Kadavath, Akul Arora, Steven Basart, Eric Tang, Dawn Song, and Jacob Steinhardt. 2021. [Measuring mathematical problem solving with the MATH dataset](https://datasets-benchmarks-proceedings.neurips.cc/paper_files/paper/2021/hash/be83ab3ecd0db773eb2dc1b0a17836a1-Abstract-round2.html). In </w:t>
      </w:r>
      <w:r>
        <w:rPr>
          <w:i/>
        </w:rPr>
        <w:t>NeurIPS Datasets and Benchmarks</w:t>
      </w:r>
      <w:r>
        <w:t>.</w:t>
      </w:r>
    </w:p>
    <w:p>
      <w:r>
        <w:t xml:space="preserve">Patrick Lewis, Ethan Perez, Aleksandra Piktus, Fabio Petroni, Vladimir Karpukhin, Naman Goyal, Heinrich K\u00fcttler, Mike Lewis, Wen-tau Yih, Tim Rockt\u00e4schel, Sebastian Riedel, and Douwe Kiela. 2020. [Retrieval-augmented generation for knowledge-intensive NLP tasks](https://proceedings.neurips.cc/paper/2020/hash/6b493230205f780e1bc26945df7481e5-Abstract.html). In </w:t>
      </w:r>
      <w:r>
        <w:rPr>
          <w:i/>
        </w:rPr>
        <w:t>NeurIPS 2020</w:t>
      </w:r>
      <w:r>
        <w:t>.</w:t>
      </w:r>
    </w:p>
    <w:p>
      <w:r>
        <w:t xml:space="preserve">Kung-Yee Liang and Scott L. Zeger. 1986. [Longitudinal data analysis using generalized linear models](https://doi.org/10.1093/biomet/73.1.13). </w:t>
      </w:r>
      <w:r>
        <w:rPr>
          <w:i/>
        </w:rPr>
        <w:t>Biometrika</w:t>
      </w:r>
      <w:r>
        <w:t>, 73(1):13\u201322.</w:t>
      </w:r>
    </w:p>
    <w:p>
      <w:r>
        <w:t xml:space="preserve">Xiao Liu, Hao Yu, Hanchen Zhang, Yifan Xu, Xuanyu Lei, Hanyu Lai, Yu Gu, Hangliang Ding, Kaiwen Men, Kejuan Yang, Shudan Zhang, Xiang Deng, Aohan Zeng, Zhengxiao Du, Chenhui Zhang, Sheng Shen, Tianjun Zhang, Yu Su, Huan Sun, Minlie Huang, Yuxiao Dong, and Jie Tang. 2024. [AgentBench: Evaluating LLMs as agents](https://openreview.net/forum?id=zAdUB0aCTQ). In </w:t>
      </w:r>
      <w:r>
        <w:rPr>
          <w:i/>
        </w:rPr>
        <w:t>ICLR 2024</w:t>
      </w:r>
      <w:r>
        <w:t>.</w:t>
      </w:r>
    </w:p>
    <w:p>
      <w:r>
        <w:t xml:space="preserve">Aman Madaan, Niket Tandon, Prakhar Gupta, Skyler Hallinan, Luyu Gao, Sarah Wiegreffe, Uri Alon, Nouha Dziri, Shrimai Prabhumoye, Yiming Yang, Shashank Gupta, Bodhisattwa Prasad Majumder, Katherine Hermann, Sean Welleck, Amir Yazdanbakhsh, and Peter Clark. 2023. [Self-Refine: Iterative refinement with self-feedback](https://proceedings.neurips.cc/paper_files/paper/2023/hash/91edff07232fb1b55a505a9e9f6c0ff3-Abstract-Conference.html). In </w:t>
      </w:r>
      <w:r>
        <w:rPr>
          <w:i/>
        </w:rPr>
        <w:t>NeurIPS 2023</w:t>
      </w:r>
      <w:r>
        <w:t>.</w:t>
      </w:r>
    </w:p>
    <w:p>
      <w:r>
        <w:t xml:space="preserve">Mohammad Sadegh Rasooli and Joel R. Tetreault. 2015. [Yara parser: A fast and accurate dependency parser](http://arxiv.org/abs/1503.06733). </w:t>
      </w:r>
      <w:r>
        <w:rPr>
          <w:i/>
        </w:rPr>
        <w:t>Computing Research Repository</w:t>
      </w:r>
      <w:r>
        <w:t>, arXiv:1503.06733.</w:t>
      </w:r>
    </w:p>
    <w:p>
      <w:r>
        <w:t xml:space="preserve">Marco T\u00falio Ribeiro, Tongshuang Wu, Carlos Guestrin, and Sameer Singh. 2020. [Beyond accuracy: Behavioral testing of NLP models with CheckList](https://doi.org/10.18653/v1/2020.acl-main.442). In </w:t>
      </w:r>
      <w:r>
        <w:rPr>
          <w:i/>
        </w:rPr>
        <w:t>ACL 2020</w:t>
      </w:r>
      <w:r>
        <w:t>, pages 4902\u20134912.</w:t>
      </w:r>
    </w:p>
    <w:p>
      <w:r>
        <w:t xml:space="preserve">David Roodman, Morten \u00d8rregaard Nielsen, James G. MacKinnon, and Matthew D. Webb. 2019. [Fast and wild: Bootstrap inference in Stata using boottest](https://doi.org/10.1177/1536867X19830877). </w:t>
      </w:r>
      <w:r>
        <w:rPr>
          <w:i/>
        </w:rPr>
        <w:t>The Stata Journal</w:t>
      </w:r>
      <w:r>
        <w:t>, 19(1):4\u201360.</w:t>
      </w:r>
    </w:p>
    <w:p>
      <w:r>
        <w:t xml:space="preserve">Rylan Schaeffer, Brando Miranda, and Sanmi Koyejo. 2023. [Are emergent abilities of large language models a mirage?](https://proceedings.neurips.cc/paper_files/paper/2023/hash/adc98a266f45005c403b8311ca7e8bd7-Abstract-Conference.html) In </w:t>
      </w:r>
      <w:r>
        <w:rPr>
          <w:i/>
        </w:rPr>
        <w:t>NeurIPS 2023</w:t>
      </w:r>
      <w:r>
        <w:t>.</w:t>
      </w:r>
    </w:p>
    <w:p>
      <w:r>
        <w:t xml:space="preserve">Melanie Sclar, Yejin Choi, Yulia Tsvetkov, and Alane Suhr. 2024. [Quantifying language models' sensitivity to spurious features in prompt design or: How I learned to start worrying about prompt formatting](https://openreview.net/forum?id=RIu5lyNXjT). In </w:t>
      </w:r>
      <w:r>
        <w:rPr>
          <w:i/>
        </w:rPr>
        <w:t>ICLR 2024</w:t>
      </w:r>
      <w:r>
        <w:t>.</w:t>
      </w:r>
    </w:p>
    <w:p>
      <w:r>
        <w:t xml:space="preserve">Noah Shinn, Federico Cassano, Edward Berman, Ashwin Gopinath, Karthik Narasimhan, and Shunyu Yao. 2023. [Reflexion: Language agents with verbal reinforcement learning](https://proceedings.neurips.cc/paper_files/paper/2023/hash/1b44b878bb782e6954cd888628510e90-Abstract-Conference.html). In </w:t>
      </w:r>
      <w:r>
        <w:rPr>
          <w:i/>
        </w:rPr>
        <w:t>NeurIPS 2023</w:t>
      </w:r>
      <w:r>
        <w:t>.</w:t>
      </w:r>
    </w:p>
    <w:p>
      <w:r>
        <w:t xml:space="preserve">Jason Wei, Xuezhi Wang, Dale Schuurmans, Maarten Bosma, Brian Ichter, Fei Xia, Ed H. Chi, Quoc V. Le, and Denny Zhou. 2022. [Chain-of-thought prompting elicits reasoning in large language models](https://proceedings.neurips.cc/paper_files/paper/2022/hash/9d5609613524ecf4f15af0f7b31abca4-Abstract-Conference.html). In </w:t>
      </w:r>
      <w:r>
        <w:rPr>
          <w:i/>
        </w:rPr>
        <w:t>NeurIPS 2022</w:t>
      </w:r>
      <w:r>
        <w:t>.</w:t>
      </w:r>
    </w:p>
    <w:p>
      <w:r>
        <w:t xml:space="preserve">Yueqi Yan, Yuxuan Cai, Yufan Zhang, Sirui Li, Zhiwei Tang, Viet Dac Lai, Philip S. Yu, and Lichao Sun. 2024. [AgentBoard: An analytical evaluation board of multi-turn LLM agents](https://proceedings.neurips.cc/paper_files/paper/2024/hash/5a48a9b6db38acca1d35e3bdf2f3f7c6-Abstract-Datasets_and_Benchmarks_Track.html). In </w:t>
      </w:r>
      <w:r>
        <w:rPr>
          <w:i/>
        </w:rPr>
        <w:t>NeurIPS Datasets and Benchmarks 2024</w:t>
      </w:r>
      <w:r>
        <w:t>.</w:t>
      </w:r>
    </w:p>
    <w:p>
      <w:r>
        <w:t xml:space="preserve">Zhilin Yang, Peng Qi, Saizheng Zhang, Yoshua Bengio, William W. Cohen, Ruslan Salakhutdinov, and Christopher D. Manning. 2018. [HotpotQA: A dataset for diverse, explainable multi-hop question answering](https://doi.org/10.18653/v1/D18-1259). In </w:t>
      </w:r>
      <w:r>
        <w:rPr>
          <w:i/>
        </w:rPr>
        <w:t>EMNLP 2018</w:t>
      </w:r>
      <w:r>
        <w:t>, pages 2369\u20132380.</w:t>
      </w:r>
    </w:p>
    <w:p>
      <w:r>
        <w:t xml:space="preserve">Shunyu Yao, Jeffrey Zhao, Dian Yu, Nan Du, Izhak Shafran, Karthik Narasimhan, and Yuan Cao. 2023. [ReAct: Synergizing reasoning and acting in language models](https://openreview.net/forum?id=WE_vluYUL-X). In </w:t>
      </w:r>
      <w:r>
        <w:rPr>
          <w:i/>
        </w:rPr>
        <w:t>ICLR 2023</w:t>
      </w:r>
      <w:r>
        <w:t>.</w:t>
      </w:r>
    </w:p>
    <w:p>
      <w:r>
        <w:t>Shunyu Yao, Noah Shinn, Pedram Razavi, and Karthik Narasimhan. 2025. [</w:t>
      </w:r>
      <w:r>
        <w:rPr>
          <w:rFonts w:ascii="Cambria Math" w:hAnsi="Cambria Math"/>
          <w:i/>
        </w:rPr>
        <w:t>\\tau</w:t>
      </w:r>
      <w:r>
        <w:t xml:space="preserve">-Bench: A benchmark for tool-agent-user interaction in real-world domains](https://openreview.net/forum?id=roNlrjCAnh). In </w:t>
      </w:r>
      <w:r>
        <w:rPr>
          <w:i/>
        </w:rPr>
        <w:t>ICLR 2025</w:t>
      </w:r>
      <w:r>
        <w:t>.</w:t>
      </w:r>
    </w:p>
    <w:p>
      <w:r>
        <w:t xml:space="preserve">Lianmin Zheng, Wei-Lin Chiang, Ying Sheng, Siyuan Zhuang, Zhanghao Wu, Yonghao Zhuang, Zi Lin, Zhuohan Li, Dacheng Li, Eric P. Xing, Hao Zhang, Joseph E. Gonzalez, and Ion Stoica. 2023. [Judging LLM-as-a-judge with MT-Bench and Chatbot Arena](https://proceedings.neurips.cc/paper_files/paper/2023/hash/91f18a1287b398d378ef22505bf41832-Abstract-Datasets_and_Benchmarks.html). In </w:t>
      </w:r>
      <w:r>
        <w:rPr>
          <w:i/>
        </w:rPr>
        <w:t>NeurIPS Datasets and Benchmarks 2023</w:t>
      </w:r>
      <w:r>
        <w:t>.</w:t>
      </w:r>
    </w:p>
    <w:p>
      <w:r>
        <w:t xml:space="preserve">Kaijie Zhu, Jindong Wang, Jiaheng Zhou, Zichen Wang, Hao Chen, Yidong Wang, Linyi Yang, Wei Ye, Neil Zhenqiang Gong, Yue Zhang, and Xing Xie. 2024. [PromptBench: Towards evaluating the robustness of large language models on adversarial prompts](https://proceedings.neurips.cc/paper_files/paper/2024/hash/9c5e0ee3e8d0b3d44a6ed9f82e9c7d15-Abstract-Datasets_and_Benchmarks_Track.html). In </w:t>
      </w:r>
      <w:r>
        <w:rPr>
          <w:i/>
        </w:rPr>
        <w:t>NeurIPS Datasets and Benchmarks 2024</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