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A467" w14:textId="77777777" w:rsidR="00EF7264" w:rsidRPr="00EF7264" w:rsidRDefault="00EF7264" w:rsidP="00EF7264">
      <w:r w:rsidRPr="00EF7264">
        <w:pict w14:anchorId="25473328">
          <v:rect id="_x0000_i1085" style="width:0;height:1.5pt" o:hralign="center" o:hrstd="t" o:hr="t" fillcolor="#a0a0a0" stroked="f"/>
        </w:pict>
      </w:r>
    </w:p>
    <w:p w14:paraId="6015C607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0’00”–1’00” </w:t>
      </w:r>
      <w:r w:rsidRPr="00EF7264">
        <w:rPr>
          <w:b/>
          <w:bCs/>
        </w:rPr>
        <w:t>开场与研究问题（建议页：研究动机）</w:t>
      </w:r>
    </w:p>
    <w:p w14:paraId="3E5AE6BD" w14:textId="77777777" w:rsidR="00EF7264" w:rsidRPr="00EF7264" w:rsidRDefault="00EF7264" w:rsidP="00EF7264">
      <w:r w:rsidRPr="00EF7264">
        <w:t>各位老师、同学大家好，我们小组汇报的题目是：</w:t>
      </w:r>
      <w:r w:rsidRPr="00EF7264">
        <w:rPr>
          <w:b/>
          <w:bCs/>
        </w:rPr>
        <w:t>基于机器学习的美元指数收益率预测：多期限、可解释性与经济价值检验</w:t>
      </w:r>
      <w:r w:rsidRPr="00EF7264">
        <w:t>。</w:t>
      </w:r>
      <w:r w:rsidRPr="00EF7264">
        <w:br/>
      </w:r>
      <w:r w:rsidRPr="00EF7264">
        <w:t>在浮动汇率制度下，名义汇率短期波动往往接近随机游走，传统宏观结构模型在样本外预测上很难稳定战胜基准，这就是经典的</w:t>
      </w:r>
      <w:r w:rsidRPr="00EF7264">
        <w:t xml:space="preserve"> </w:t>
      </w:r>
      <w:r w:rsidRPr="00EF7264">
        <w:rPr>
          <w:b/>
          <w:bCs/>
        </w:rPr>
        <w:t>Meese–Rogoff puzzle</w:t>
      </w:r>
      <w:r w:rsidRPr="00EF7264">
        <w:t>。我们的核心问题是：</w:t>
      </w:r>
      <w:r w:rsidRPr="00EF7264">
        <w:rPr>
          <w:b/>
          <w:bCs/>
        </w:rPr>
        <w:t>在日度数据和多维特征下，机器学习能否在样本外预测中为美元指数带来稳定增益？这种增益在不同持有期是否存在期限结构？并且，统计改进能否转化为可交易的经济收益？</w:t>
      </w:r>
    </w:p>
    <w:p w14:paraId="4052C597" w14:textId="77777777" w:rsidR="00EF7264" w:rsidRPr="00EF7264" w:rsidRDefault="00EF7264" w:rsidP="00EF7264">
      <w:r w:rsidRPr="00EF7264">
        <w:pict w14:anchorId="37824213">
          <v:rect id="_x0000_i1086" style="width:0;height:1.5pt" o:hralign="center" o:hrstd="t" o:hr="t" fillcolor="#a0a0a0" stroked="f"/>
        </w:pict>
      </w:r>
    </w:p>
    <w:p w14:paraId="4272FF08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1’00”–2’30” </w:t>
      </w:r>
      <w:r w:rsidRPr="00EF7264">
        <w:rPr>
          <w:b/>
          <w:bCs/>
        </w:rPr>
        <w:t>数据、样本与特征体系（建议页：数据与变量）</w:t>
      </w:r>
    </w:p>
    <w:p w14:paraId="50AEB331" w14:textId="77777777" w:rsidR="00EF7264" w:rsidRPr="00EF7264" w:rsidRDefault="00EF7264" w:rsidP="00EF7264">
      <w:r w:rsidRPr="00EF7264">
        <w:t>我们以</w:t>
      </w:r>
      <w:r w:rsidRPr="00EF7264">
        <w:rPr>
          <w:b/>
          <w:bCs/>
        </w:rPr>
        <w:t>美元指数</w:t>
      </w:r>
      <w:r w:rsidRPr="00EF7264">
        <w:t>为研究对象，构建了</w:t>
      </w:r>
      <w:r w:rsidRPr="00EF7264">
        <w:t xml:space="preserve"> 2006 </w:t>
      </w:r>
      <w:r w:rsidRPr="00EF7264">
        <w:t>年</w:t>
      </w:r>
      <w:r w:rsidRPr="00EF7264">
        <w:t xml:space="preserve"> 3 </w:t>
      </w:r>
      <w:r w:rsidRPr="00EF7264">
        <w:t>月</w:t>
      </w:r>
      <w:r w:rsidRPr="00EF7264">
        <w:t xml:space="preserve"> 29 </w:t>
      </w:r>
      <w:r w:rsidRPr="00EF7264">
        <w:t>日到</w:t>
      </w:r>
      <w:r w:rsidRPr="00EF7264">
        <w:t xml:space="preserve"> 2025 </w:t>
      </w:r>
      <w:r w:rsidRPr="00EF7264">
        <w:t>年</w:t>
      </w:r>
      <w:r w:rsidRPr="00EF7264">
        <w:t xml:space="preserve"> 10 </w:t>
      </w:r>
      <w:r w:rsidRPr="00EF7264">
        <w:t>月</w:t>
      </w:r>
      <w:r w:rsidRPr="00EF7264">
        <w:t xml:space="preserve"> 31 </w:t>
      </w:r>
      <w:r w:rsidRPr="00EF7264">
        <w:t>日的日度样本，合并后共有</w:t>
      </w:r>
      <w:r w:rsidRPr="00EF7264">
        <w:t xml:space="preserve"> </w:t>
      </w:r>
      <w:r w:rsidRPr="00EF7264">
        <w:rPr>
          <w:b/>
          <w:bCs/>
        </w:rPr>
        <w:t>5088</w:t>
      </w:r>
      <w:r w:rsidRPr="00EF7264">
        <w:t xml:space="preserve"> </w:t>
      </w:r>
      <w:r w:rsidRPr="00EF7264">
        <w:t>条观测。</w:t>
      </w:r>
      <w:r w:rsidRPr="00EF7264">
        <w:br/>
      </w:r>
      <w:r w:rsidRPr="00EF7264">
        <w:t>特征体系分为四类：</w:t>
      </w:r>
      <w:r w:rsidRPr="00EF7264">
        <w:br/>
      </w:r>
      <w:r w:rsidRPr="00EF7264">
        <w:t>第一类是</w:t>
      </w:r>
      <w:r w:rsidRPr="00EF7264">
        <w:rPr>
          <w:b/>
          <w:bCs/>
        </w:rPr>
        <w:t>宏观基本面</w:t>
      </w:r>
      <w:r w:rsidRPr="00EF7264">
        <w:t>，包括多国利率（</w:t>
      </w:r>
      <w:r w:rsidRPr="00EF7264">
        <w:t>3M</w:t>
      </w:r>
      <w:r w:rsidRPr="00EF7264">
        <w:t>、</w:t>
      </w:r>
      <w:r w:rsidRPr="00EF7264">
        <w:t>10Y</w:t>
      </w:r>
      <w:r w:rsidRPr="00EF7264">
        <w:t>）、期限利差、通胀、产出缺口等；</w:t>
      </w:r>
      <w:r w:rsidRPr="00EF7264">
        <w:br/>
      </w:r>
      <w:r w:rsidRPr="00EF7264">
        <w:t>第二类是</w:t>
      </w:r>
      <w:r w:rsidRPr="00EF7264">
        <w:rPr>
          <w:b/>
          <w:bCs/>
        </w:rPr>
        <w:t>大宗商品与市场指数</w:t>
      </w:r>
      <w:r w:rsidRPr="00EF7264">
        <w:t>，包括黄金、</w:t>
      </w:r>
      <w:r w:rsidRPr="00EF7264">
        <w:t xml:space="preserve">WTI </w:t>
      </w:r>
      <w:r w:rsidRPr="00EF7264">
        <w:t>原油、各国股指、美元指数期货等；</w:t>
      </w:r>
      <w:r w:rsidRPr="00EF7264">
        <w:br/>
      </w:r>
      <w:r w:rsidRPr="00EF7264">
        <w:t>第三类是</w:t>
      </w:r>
      <w:r w:rsidRPr="00EF7264">
        <w:rPr>
          <w:b/>
          <w:bCs/>
        </w:rPr>
        <w:t>情绪与不确定性</w:t>
      </w:r>
      <w:r w:rsidRPr="00EF7264">
        <w:t>，主要是</w:t>
      </w:r>
      <w:r w:rsidRPr="00EF7264">
        <w:t xml:space="preserve"> EPU </w:t>
      </w:r>
      <w:r w:rsidRPr="00EF7264">
        <w:t>和</w:t>
      </w:r>
      <w:r w:rsidRPr="00EF7264">
        <w:t xml:space="preserve"> VIX</w:t>
      </w:r>
      <w:r w:rsidRPr="00EF7264">
        <w:t>；</w:t>
      </w:r>
      <w:r w:rsidRPr="00EF7264">
        <w:br/>
      </w:r>
      <w:r w:rsidRPr="00EF7264">
        <w:t>第四类是</w:t>
      </w:r>
      <w:r w:rsidRPr="00EF7264">
        <w:rPr>
          <w:b/>
          <w:bCs/>
        </w:rPr>
        <w:t>美元指数技术指标</w:t>
      </w:r>
      <w:r w:rsidRPr="00EF7264">
        <w:t>，如均线偏离度</w:t>
      </w:r>
      <w:r w:rsidRPr="00EF7264">
        <w:t xml:space="preserve"> MA_Gap</w:t>
      </w:r>
      <w:r w:rsidRPr="00EF7264">
        <w:t>、布林带宽度</w:t>
      </w:r>
      <w:r w:rsidRPr="00EF7264">
        <w:t xml:space="preserve"> BBW</w:t>
      </w:r>
      <w:r w:rsidRPr="00EF7264">
        <w:t>，以及收益率滞后项。</w:t>
      </w:r>
      <w:r w:rsidRPr="00EF7264">
        <w:br/>
      </w:r>
      <w:r w:rsidRPr="00EF7264">
        <w:t>对齐口径上，我们以美元指数交易日为主轴，非交易日剔除，缺失值采用向前填充，避免引入周末噪声。</w:t>
      </w:r>
    </w:p>
    <w:p w14:paraId="591D3E1C" w14:textId="77777777" w:rsidR="00EF7264" w:rsidRPr="00EF7264" w:rsidRDefault="00EF7264" w:rsidP="00EF7264">
      <w:r w:rsidRPr="00EF7264">
        <w:pict w14:anchorId="1B2DA3C1">
          <v:rect id="_x0000_i1087" style="width:0;height:1.5pt" o:hralign="center" o:hrstd="t" o:hr="t" fillcolor="#a0a0a0" stroked="f"/>
        </w:pict>
      </w:r>
    </w:p>
    <w:p w14:paraId="51E493CF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2’30”–4’10” </w:t>
      </w:r>
      <w:r w:rsidRPr="00EF7264">
        <w:rPr>
          <w:b/>
          <w:bCs/>
        </w:rPr>
        <w:t>预测对象与多期限设定（建议页：预测任务）</w:t>
      </w:r>
    </w:p>
    <w:p w14:paraId="49074BA8" w14:textId="53DB14D8" w:rsidR="00EF7264" w:rsidRPr="00EF7264" w:rsidRDefault="00EF7264" w:rsidP="00EF7264">
      <w:r w:rsidRPr="00EF7264">
        <w:t>我们的</w:t>
      </w:r>
      <w:r w:rsidR="00C107FF">
        <w:rPr>
          <w:rFonts w:hint="eastAsia"/>
        </w:rPr>
        <w:t>除了预测</w:t>
      </w:r>
      <w:r w:rsidR="00814EFC">
        <w:rPr>
          <w:rFonts w:hint="eastAsia"/>
        </w:rPr>
        <w:t>1</w:t>
      </w:r>
      <w:r w:rsidR="00814EFC">
        <w:rPr>
          <w:rFonts w:hint="eastAsia"/>
        </w:rPr>
        <w:t>日的收益率，还包括</w:t>
      </w:r>
      <w:r w:rsidR="00290F9A">
        <w:rPr>
          <w:rFonts w:hint="eastAsia"/>
        </w:rPr>
        <w:t>广义的</w:t>
      </w:r>
      <w:r w:rsidRPr="00EF7264">
        <w:rPr>
          <w:b/>
          <w:bCs/>
        </w:rPr>
        <w:t>持有期收益</w:t>
      </w:r>
      <w:r w:rsidRPr="00EF7264">
        <w:t>：定义未来</w:t>
      </w:r>
      <w:r w:rsidRPr="00EF7264">
        <w:t xml:space="preserve"> </w:t>
      </w:r>
      <w:r w:rsidRPr="00EF7264">
        <w:rPr>
          <w:b/>
          <w:bCs/>
        </w:rPr>
        <w:t xml:space="preserve">H </w:t>
      </w:r>
      <w:r w:rsidRPr="00EF7264">
        <w:rPr>
          <w:b/>
          <w:bCs/>
        </w:rPr>
        <w:t>个交易日</w:t>
      </w:r>
      <w:r w:rsidRPr="00EF7264">
        <w:t>内美元指数的累计对数收益率。我们设置</w:t>
      </w:r>
      <w:r w:rsidRPr="00EF7264">
        <w:t xml:space="preserve"> </w:t>
      </w:r>
      <w:r w:rsidRPr="00EF7264">
        <w:rPr>
          <w:b/>
          <w:bCs/>
        </w:rPr>
        <w:t xml:space="preserve">H </w:t>
      </w:r>
      <w:r w:rsidRPr="00EF7264">
        <w:rPr>
          <w:rFonts w:ascii="Cambria Math" w:hAnsi="Cambria Math" w:cs="Cambria Math"/>
          <w:b/>
          <w:bCs/>
        </w:rPr>
        <w:t>∈</w:t>
      </w:r>
      <w:r w:rsidRPr="00EF7264">
        <w:rPr>
          <w:b/>
          <w:bCs/>
        </w:rPr>
        <w:t xml:space="preserve"> {1, 5, 10, 20}</w:t>
      </w:r>
      <w:r w:rsidRPr="00EF7264">
        <w:t>，对应</w:t>
      </w:r>
      <w:r w:rsidRPr="00EF7264">
        <w:t xml:space="preserve"> 1 </w:t>
      </w:r>
      <w:r w:rsidRPr="00EF7264">
        <w:t>天游离、</w:t>
      </w:r>
      <w:r w:rsidRPr="00EF7264">
        <w:t xml:space="preserve">1 </w:t>
      </w:r>
      <w:r w:rsidRPr="00EF7264">
        <w:t>周左右、</w:t>
      </w:r>
      <w:r w:rsidRPr="00EF7264">
        <w:t xml:space="preserve">2 </w:t>
      </w:r>
      <w:r w:rsidRPr="00EF7264">
        <w:t>周左右到</w:t>
      </w:r>
      <w:r w:rsidRPr="00EF7264">
        <w:t xml:space="preserve"> 1 </w:t>
      </w:r>
      <w:r w:rsidRPr="00EF7264">
        <w:t>个月左右的持有期。</w:t>
      </w:r>
      <w:r w:rsidRPr="00EF7264">
        <w:br/>
      </w:r>
      <w:r w:rsidRPr="00EF7264">
        <w:t>这样做的意义在于：如果可预测信号更多来自宏观与风险溢价通道，那么它可能不会在</w:t>
      </w:r>
      <w:r w:rsidRPr="00EF7264">
        <w:t xml:space="preserve"> 1 </w:t>
      </w:r>
      <w:r w:rsidRPr="00EF7264">
        <w:t>天游离里立刻体现，但在</w:t>
      </w:r>
      <w:r w:rsidRPr="00EF7264">
        <w:t xml:space="preserve"> 5</w:t>
      </w:r>
      <w:r w:rsidRPr="00EF7264">
        <w:t>、</w:t>
      </w:r>
      <w:r w:rsidRPr="00EF7264">
        <w:t>10</w:t>
      </w:r>
      <w:r w:rsidRPr="00EF7264">
        <w:t>、</w:t>
      </w:r>
      <w:r w:rsidRPr="00EF7264">
        <w:t xml:space="preserve">20 </w:t>
      </w:r>
      <w:r w:rsidRPr="00EF7264">
        <w:t>日窗口中更容易累积出来，形成更强的信噪比。</w:t>
      </w:r>
    </w:p>
    <w:p w14:paraId="37EE559B" w14:textId="77777777" w:rsidR="00EF7264" w:rsidRPr="00EF7264" w:rsidRDefault="00EF7264" w:rsidP="00EF7264">
      <w:r w:rsidRPr="00EF7264">
        <w:pict w14:anchorId="40EFD637">
          <v:rect id="_x0000_i1088" style="width:0;height:1.5pt" o:hralign="center" o:hrstd="t" o:hr="t" fillcolor="#a0a0a0" stroked="f"/>
        </w:pict>
      </w:r>
    </w:p>
    <w:p w14:paraId="4D56F286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4’10”–6’10” </w:t>
      </w:r>
      <w:r w:rsidRPr="00EF7264">
        <w:rPr>
          <w:b/>
          <w:bCs/>
        </w:rPr>
        <w:t>模型与样本外评估框架（建议页：方法与训练）</w:t>
      </w:r>
    </w:p>
    <w:p w14:paraId="1BA2E901" w14:textId="635F56E2" w:rsidR="00EF7264" w:rsidRPr="00EF7264" w:rsidRDefault="00EF7264" w:rsidP="00EF7264">
      <w:pPr>
        <w:rPr>
          <w:rFonts w:hint="eastAsia"/>
        </w:rPr>
      </w:pPr>
      <w:r w:rsidRPr="00EF7264">
        <w:t>基准模型采用</w:t>
      </w:r>
      <w:r w:rsidRPr="00EF7264">
        <w:rPr>
          <w:b/>
          <w:bCs/>
        </w:rPr>
        <w:t>无漂移随机游走</w:t>
      </w:r>
      <w:r w:rsidRPr="00EF7264">
        <w:t>，在汇率预测中非常常见：对数收益率的基准预测为</w:t>
      </w:r>
      <w:r w:rsidRPr="00EF7264">
        <w:t xml:space="preserve"> 0</w:t>
      </w:r>
      <w:r w:rsidRPr="00EF7264">
        <w:t>。</w:t>
      </w:r>
      <w:r w:rsidR="00B74DAD">
        <w:rPr>
          <w:rFonts w:hint="eastAsia"/>
        </w:rPr>
        <w:t>在预测模型上，我们选择两类：</w:t>
      </w:r>
    </w:p>
    <w:p w14:paraId="53D19B89" w14:textId="77777777" w:rsidR="00EF7264" w:rsidRPr="00EF7264" w:rsidRDefault="00EF7264" w:rsidP="00EF7264">
      <w:pPr>
        <w:numPr>
          <w:ilvl w:val="0"/>
          <w:numId w:val="8"/>
        </w:numPr>
      </w:pPr>
      <w:r w:rsidRPr="00EF7264">
        <w:rPr>
          <w:b/>
          <w:bCs/>
        </w:rPr>
        <w:lastRenderedPageBreak/>
        <w:t>正则化线性模型</w:t>
      </w:r>
      <w:r w:rsidRPr="00EF7264">
        <w:t>：</w:t>
      </w:r>
      <w:r w:rsidRPr="00EF7264">
        <w:t>LASSO</w:t>
      </w:r>
      <w:r w:rsidRPr="00EF7264">
        <w:t>、</w:t>
      </w:r>
      <w:r w:rsidRPr="00EF7264">
        <w:t>Ridge</w:t>
      </w:r>
      <w:r w:rsidRPr="00EF7264">
        <w:t>、</w:t>
      </w:r>
      <w:r w:rsidRPr="00EF7264">
        <w:t>ElasticNet</w:t>
      </w:r>
      <w:r w:rsidRPr="00EF7264">
        <w:t>，用于在高维相关特征下抑制过拟合并保持可解释性；</w:t>
      </w:r>
    </w:p>
    <w:p w14:paraId="2B48BE3F" w14:textId="77777777" w:rsidR="00EF7264" w:rsidRPr="00EF7264" w:rsidRDefault="00EF7264" w:rsidP="00EF7264">
      <w:pPr>
        <w:numPr>
          <w:ilvl w:val="0"/>
          <w:numId w:val="8"/>
        </w:numPr>
      </w:pPr>
      <w:r w:rsidRPr="00EF7264">
        <w:rPr>
          <w:b/>
          <w:bCs/>
        </w:rPr>
        <w:t>树模型</w:t>
      </w:r>
      <w:r w:rsidRPr="00EF7264">
        <w:t>：</w:t>
      </w:r>
      <w:r w:rsidRPr="00EF7264">
        <w:t>Random Forest</w:t>
      </w:r>
      <w:r w:rsidRPr="00EF7264">
        <w:t>、</w:t>
      </w:r>
      <w:r w:rsidRPr="00EF7264">
        <w:t>XGBoost</w:t>
      </w:r>
      <w:r w:rsidRPr="00EF7264">
        <w:t>、</w:t>
      </w:r>
      <w:r w:rsidRPr="00EF7264">
        <w:t>LightGBM</w:t>
      </w:r>
      <w:r w:rsidRPr="00EF7264">
        <w:t>，用于刻画非线性、阈值效应和变量交互。</w:t>
      </w:r>
    </w:p>
    <w:p w14:paraId="20B74ACF" w14:textId="0F66C6DD" w:rsidR="00EF7264" w:rsidRPr="00EF7264" w:rsidRDefault="00EF7264" w:rsidP="00EF7264">
      <w:r w:rsidRPr="00EF7264">
        <w:t>训练与验证严格遵循时间序列样本外：按时间顺序切分</w:t>
      </w:r>
      <w:r w:rsidRPr="00EF7264">
        <w:t xml:space="preserve"> </w:t>
      </w:r>
      <w:r w:rsidRPr="00EF7264">
        <w:rPr>
          <w:b/>
          <w:bCs/>
        </w:rPr>
        <w:t xml:space="preserve">80% </w:t>
      </w:r>
      <w:r w:rsidRPr="00EF7264">
        <w:rPr>
          <w:b/>
          <w:bCs/>
        </w:rPr>
        <w:t>训练验证集</w:t>
      </w:r>
      <w:r w:rsidRPr="00EF7264">
        <w:rPr>
          <w:b/>
          <w:bCs/>
        </w:rPr>
        <w:t xml:space="preserve"> + 20% </w:t>
      </w:r>
      <w:r w:rsidRPr="00EF7264">
        <w:rPr>
          <w:b/>
          <w:bCs/>
        </w:rPr>
        <w:t>测试集</w:t>
      </w:r>
      <w:r w:rsidRPr="00EF7264">
        <w:t>。超参数选择在训练验证集内部完成，采用</w:t>
      </w:r>
      <w:r w:rsidRPr="00EF7264">
        <w:rPr>
          <w:b/>
          <w:bCs/>
        </w:rPr>
        <w:t>拓展窗口（</w:t>
      </w:r>
      <w:r w:rsidRPr="00EF7264">
        <w:rPr>
          <w:b/>
          <w:bCs/>
        </w:rPr>
        <w:t>Expanding Window</w:t>
      </w:r>
      <w:r w:rsidRPr="00EF7264">
        <w:rPr>
          <w:b/>
          <w:bCs/>
        </w:rPr>
        <w:t>）交叉验证</w:t>
      </w:r>
      <w:r w:rsidRPr="00EF7264">
        <w:t>：训练窗口随时间扩张、验证窗口向前滚动，评价指标用验证期</w:t>
      </w:r>
      <w:r w:rsidRPr="00EF7264">
        <w:t xml:space="preserve"> RMSE </w:t>
      </w:r>
      <w:r w:rsidRPr="00EF7264">
        <w:t>的时间序列平均</w:t>
      </w:r>
      <w:r w:rsidR="002F3A77">
        <w:rPr>
          <w:rFonts w:hint="eastAsia"/>
        </w:rPr>
        <w:t>值</w:t>
      </w:r>
      <w:r w:rsidRPr="00EF7264">
        <w:t>。</w:t>
      </w:r>
      <w:r w:rsidRPr="00EF7264">
        <w:br/>
      </w:r>
      <w:r w:rsidRPr="00EF7264">
        <w:t>进入测试集后，我们对每个测试时点采用</w:t>
      </w:r>
      <w:r w:rsidRPr="00EF7264">
        <w:t>“</w:t>
      </w:r>
      <w:r w:rsidRPr="00EF7264">
        <w:t>只用历史数据重新训练再预测</w:t>
      </w:r>
      <w:r w:rsidRPr="00EF7264">
        <w:t>”</w:t>
      </w:r>
      <w:r w:rsidRPr="00EF7264">
        <w:t>的滚动再训练方式，尽量控制前视偏差，保证样本外比较公平。</w:t>
      </w:r>
    </w:p>
    <w:p w14:paraId="32BDAB76" w14:textId="77777777" w:rsidR="00EF7264" w:rsidRPr="00EF7264" w:rsidRDefault="00EF7264" w:rsidP="00EF7264">
      <w:r w:rsidRPr="00EF7264">
        <w:pict w14:anchorId="4BF9D12C">
          <v:rect id="_x0000_i1089" style="width:0;height:1.5pt" o:hralign="center" o:hrstd="t" o:hr="t" fillcolor="#a0a0a0" stroked="f"/>
        </w:pict>
      </w:r>
    </w:p>
    <w:p w14:paraId="3167938D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6’10”–8’10” </w:t>
      </w:r>
      <w:r w:rsidRPr="00EF7264">
        <w:rPr>
          <w:b/>
          <w:bCs/>
        </w:rPr>
        <w:t>基本结果：谁在什么期限上更强（建议页：样本外结果）</w:t>
      </w:r>
    </w:p>
    <w:p w14:paraId="6D945F36" w14:textId="77777777" w:rsidR="00EF7264" w:rsidRPr="00EF7264" w:rsidRDefault="00EF7264" w:rsidP="00EF7264">
      <w:r w:rsidRPr="00EF7264">
        <w:t>下面汇报最核心的发现：</w:t>
      </w:r>
      <w:r w:rsidRPr="00EF7264">
        <w:rPr>
          <w:b/>
          <w:bCs/>
        </w:rPr>
        <w:t>模型表现存在明显的期限结构</w:t>
      </w:r>
      <w:r w:rsidRPr="00EF7264">
        <w:t>。</w:t>
      </w:r>
    </w:p>
    <w:p w14:paraId="70159665" w14:textId="77777777" w:rsidR="00EF7264" w:rsidRPr="00EF7264" w:rsidRDefault="00EF7264" w:rsidP="00EF7264">
      <w:pPr>
        <w:numPr>
          <w:ilvl w:val="0"/>
          <w:numId w:val="9"/>
        </w:numPr>
      </w:pPr>
      <w:r w:rsidRPr="00EF7264">
        <w:t>在</w:t>
      </w:r>
      <w:r w:rsidRPr="00EF7264">
        <w:t xml:space="preserve"> </w:t>
      </w:r>
      <w:r w:rsidRPr="00EF7264">
        <w:rPr>
          <w:b/>
          <w:bCs/>
        </w:rPr>
        <w:t>H=1</w:t>
      </w:r>
      <w:r w:rsidRPr="00EF7264">
        <w:t xml:space="preserve"> </w:t>
      </w:r>
      <w:r w:rsidRPr="00EF7264">
        <w:t>的短期预测中，整体改进幅度很小，但</w:t>
      </w:r>
      <w:r w:rsidRPr="00EF7264">
        <w:rPr>
          <w:b/>
          <w:bCs/>
        </w:rPr>
        <w:t>正则化线性模型更稳健</w:t>
      </w:r>
      <w:r w:rsidRPr="00EF7264">
        <w:t>。例如</w:t>
      </w:r>
      <w:r w:rsidRPr="00EF7264">
        <w:t xml:space="preserve"> ElasticNet </w:t>
      </w:r>
      <w:r w:rsidRPr="00EF7264">
        <w:t>的样本外</w:t>
      </w:r>
      <w:r w:rsidRPr="00EF7264">
        <w:t xml:space="preserve"> R² </w:t>
      </w:r>
      <w:r w:rsidRPr="00EF7264">
        <w:t>约</w:t>
      </w:r>
      <w:r w:rsidRPr="00EF7264">
        <w:t xml:space="preserve"> </w:t>
      </w:r>
      <w:r w:rsidRPr="00EF7264">
        <w:rPr>
          <w:b/>
          <w:bCs/>
        </w:rPr>
        <w:t>2.21%</w:t>
      </w:r>
      <w:r w:rsidRPr="00EF7264">
        <w:t>，方向准确率约</w:t>
      </w:r>
      <w:r w:rsidRPr="00EF7264">
        <w:t xml:space="preserve"> </w:t>
      </w:r>
      <w:r w:rsidRPr="00EF7264">
        <w:rPr>
          <w:b/>
          <w:bCs/>
        </w:rPr>
        <w:t>52%</w:t>
      </w:r>
      <w:r w:rsidRPr="00EF7264">
        <w:t xml:space="preserve"> </w:t>
      </w:r>
      <w:r w:rsidRPr="00EF7264">
        <w:t>左右；而</w:t>
      </w:r>
      <w:r w:rsidRPr="00EF7264">
        <w:t xml:space="preserve"> LightGBM </w:t>
      </w:r>
      <w:r w:rsidRPr="00EF7264">
        <w:t>在</w:t>
      </w:r>
      <w:r w:rsidRPr="00EF7264">
        <w:t xml:space="preserve"> H=1 </w:t>
      </w:r>
      <w:r w:rsidRPr="00EF7264">
        <w:t>反而出现负的样本外</w:t>
      </w:r>
      <w:r w:rsidRPr="00EF7264">
        <w:t xml:space="preserve"> R²</w:t>
      </w:r>
      <w:r w:rsidRPr="00EF7264">
        <w:t>，说明短期波动更多是高频噪声与微观冲击叠加，复杂模型更容易过拟合。</w:t>
      </w:r>
    </w:p>
    <w:p w14:paraId="0737A398" w14:textId="77777777" w:rsidR="00EF7264" w:rsidRPr="00EF7264" w:rsidRDefault="00EF7264" w:rsidP="00EF7264">
      <w:pPr>
        <w:numPr>
          <w:ilvl w:val="0"/>
          <w:numId w:val="9"/>
        </w:numPr>
      </w:pPr>
      <w:r w:rsidRPr="00EF7264">
        <w:t>当期限拉长到</w:t>
      </w:r>
      <w:r w:rsidRPr="00EF7264">
        <w:t xml:space="preserve"> </w:t>
      </w:r>
      <w:r w:rsidRPr="00EF7264">
        <w:rPr>
          <w:b/>
          <w:bCs/>
        </w:rPr>
        <w:t>H=5</w:t>
      </w:r>
      <w:r w:rsidRPr="00EF7264">
        <w:rPr>
          <w:b/>
          <w:bCs/>
        </w:rPr>
        <w:t>、</w:t>
      </w:r>
      <w:r w:rsidRPr="00EF7264">
        <w:rPr>
          <w:b/>
          <w:bCs/>
        </w:rPr>
        <w:t>10</w:t>
      </w:r>
      <w:r w:rsidRPr="00EF7264">
        <w:rPr>
          <w:b/>
          <w:bCs/>
        </w:rPr>
        <w:t>、</w:t>
      </w:r>
      <w:r w:rsidRPr="00EF7264">
        <w:rPr>
          <w:b/>
          <w:bCs/>
        </w:rPr>
        <w:t>20</w:t>
      </w:r>
      <w:r w:rsidRPr="00EF7264">
        <w:t>，树模型优势显著扩大。以</w:t>
      </w:r>
      <w:r w:rsidRPr="00EF7264">
        <w:t xml:space="preserve"> LightGBM </w:t>
      </w:r>
      <w:r w:rsidRPr="00EF7264">
        <w:t>为例：</w:t>
      </w:r>
    </w:p>
    <w:p w14:paraId="7C8BBE47" w14:textId="77777777" w:rsidR="00EF7264" w:rsidRPr="00EF7264" w:rsidRDefault="00EF7264" w:rsidP="00EF7264">
      <w:pPr>
        <w:numPr>
          <w:ilvl w:val="1"/>
          <w:numId w:val="9"/>
        </w:numPr>
      </w:pPr>
      <w:r w:rsidRPr="00EF7264">
        <w:rPr>
          <w:b/>
          <w:bCs/>
        </w:rPr>
        <w:t>H=5</w:t>
      </w:r>
      <w:r w:rsidRPr="00EF7264">
        <w:t xml:space="preserve"> </w:t>
      </w:r>
      <w:r w:rsidRPr="00EF7264">
        <w:t>时样本外</w:t>
      </w:r>
      <w:r w:rsidRPr="00EF7264">
        <w:t xml:space="preserve"> R² </w:t>
      </w:r>
      <w:r w:rsidRPr="00EF7264">
        <w:t>提升到约</w:t>
      </w:r>
      <w:r w:rsidRPr="00EF7264">
        <w:t xml:space="preserve"> </w:t>
      </w:r>
      <w:r w:rsidRPr="00EF7264">
        <w:rPr>
          <w:b/>
          <w:bCs/>
        </w:rPr>
        <w:t>5.68%</w:t>
      </w:r>
      <w:r w:rsidRPr="00EF7264">
        <w:t>，方向准确率约</w:t>
      </w:r>
      <w:r w:rsidRPr="00EF7264">
        <w:t xml:space="preserve"> </w:t>
      </w:r>
      <w:r w:rsidRPr="00EF7264">
        <w:rPr>
          <w:b/>
          <w:bCs/>
        </w:rPr>
        <w:t>58%</w:t>
      </w:r>
      <w:r w:rsidRPr="00EF7264">
        <w:t>；</w:t>
      </w:r>
    </w:p>
    <w:p w14:paraId="180FB59D" w14:textId="77777777" w:rsidR="00EF7264" w:rsidRPr="00EF7264" w:rsidRDefault="00EF7264" w:rsidP="00EF7264">
      <w:pPr>
        <w:numPr>
          <w:ilvl w:val="1"/>
          <w:numId w:val="9"/>
        </w:numPr>
      </w:pPr>
      <w:r w:rsidRPr="00EF7264">
        <w:rPr>
          <w:b/>
          <w:bCs/>
        </w:rPr>
        <w:t>H=10</w:t>
      </w:r>
      <w:r w:rsidRPr="00EF7264">
        <w:t xml:space="preserve"> </w:t>
      </w:r>
      <w:r w:rsidRPr="00EF7264">
        <w:t>时样本外</w:t>
      </w:r>
      <w:r w:rsidRPr="00EF7264">
        <w:t xml:space="preserve"> R² </w:t>
      </w:r>
      <w:r w:rsidRPr="00EF7264">
        <w:t>约</w:t>
      </w:r>
      <w:r w:rsidRPr="00EF7264">
        <w:t xml:space="preserve"> </w:t>
      </w:r>
      <w:r w:rsidRPr="00EF7264">
        <w:rPr>
          <w:b/>
          <w:bCs/>
        </w:rPr>
        <w:t>20.2%</w:t>
      </w:r>
      <w:r w:rsidRPr="00EF7264">
        <w:t>，方向准确率约</w:t>
      </w:r>
      <w:r w:rsidRPr="00EF7264">
        <w:t xml:space="preserve"> </w:t>
      </w:r>
      <w:r w:rsidRPr="00EF7264">
        <w:rPr>
          <w:b/>
          <w:bCs/>
        </w:rPr>
        <w:t>64.4%</w:t>
      </w:r>
      <w:r w:rsidRPr="00EF7264">
        <w:t>；</w:t>
      </w:r>
    </w:p>
    <w:p w14:paraId="2DB6F96A" w14:textId="77777777" w:rsidR="00EF7264" w:rsidRPr="00EF7264" w:rsidRDefault="00EF7264" w:rsidP="00EF7264">
      <w:pPr>
        <w:numPr>
          <w:ilvl w:val="1"/>
          <w:numId w:val="9"/>
        </w:numPr>
      </w:pPr>
      <w:r w:rsidRPr="00EF7264">
        <w:rPr>
          <w:b/>
          <w:bCs/>
        </w:rPr>
        <w:t>H=20</w:t>
      </w:r>
      <w:r w:rsidRPr="00EF7264">
        <w:t xml:space="preserve"> </w:t>
      </w:r>
      <w:r w:rsidRPr="00EF7264">
        <w:t>时最突出，样本外</w:t>
      </w:r>
      <w:r w:rsidRPr="00EF7264">
        <w:t xml:space="preserve"> R² </w:t>
      </w:r>
      <w:r w:rsidRPr="00EF7264">
        <w:t>达到约</w:t>
      </w:r>
      <w:r w:rsidRPr="00EF7264">
        <w:t xml:space="preserve"> </w:t>
      </w:r>
      <w:r w:rsidRPr="00EF7264">
        <w:rPr>
          <w:b/>
          <w:bCs/>
        </w:rPr>
        <w:t>71.2%</w:t>
      </w:r>
      <w:r w:rsidRPr="00EF7264">
        <w:t>，方向准确率约</w:t>
      </w:r>
      <w:r w:rsidRPr="00EF7264">
        <w:t xml:space="preserve"> </w:t>
      </w:r>
      <w:r w:rsidRPr="00EF7264">
        <w:rPr>
          <w:b/>
          <w:bCs/>
        </w:rPr>
        <w:t>85.9%</w:t>
      </w:r>
      <w:r w:rsidRPr="00EF7264">
        <w:t>。</w:t>
      </w:r>
      <w:r w:rsidRPr="00EF7264">
        <w:br/>
      </w:r>
      <w:r w:rsidRPr="00EF7264">
        <w:t>这一组结果的直观含义是：</w:t>
      </w:r>
      <w:r w:rsidRPr="00EF7264">
        <w:rPr>
          <w:b/>
          <w:bCs/>
        </w:rPr>
        <w:t>持有期越长，可预测结构越容易被模型捕捉</w:t>
      </w:r>
      <w:r w:rsidRPr="00EF7264">
        <w:t>；并且当结构性信号足够强时，树模型通过分裂与集成刻画非线性与交互，能显著优于线性模型与随机游走基准。</w:t>
      </w:r>
    </w:p>
    <w:p w14:paraId="5F8B25E2" w14:textId="77777777" w:rsidR="00EF7264" w:rsidRPr="00EF7264" w:rsidRDefault="00EF7264" w:rsidP="00EF7264">
      <w:r w:rsidRPr="00EF7264">
        <w:pict w14:anchorId="49DA72FB">
          <v:rect id="_x0000_i1090" style="width:0;height:1.5pt" o:hralign="center" o:hrstd="t" o:hr="t" fillcolor="#a0a0a0" stroked="f"/>
        </w:pict>
      </w:r>
    </w:p>
    <w:p w14:paraId="783928CA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8’10”–9’50” </w:t>
      </w:r>
      <w:r w:rsidRPr="00EF7264">
        <w:rPr>
          <w:b/>
          <w:bCs/>
        </w:rPr>
        <w:t>可解释性：重要特征如何随期限迁移（建议页：特征重要性）</w:t>
      </w:r>
    </w:p>
    <w:p w14:paraId="43DEB77B" w14:textId="4E00DE99" w:rsidR="00EF7264" w:rsidRPr="00EF7264" w:rsidRDefault="00EF7264" w:rsidP="00EF7264">
      <w:r w:rsidRPr="00EF7264">
        <w:t>为理解</w:t>
      </w:r>
      <w:r w:rsidRPr="00EF7264">
        <w:t>“</w:t>
      </w:r>
      <w:r w:rsidRPr="00EF7264">
        <w:t>模型到底在用什么信息</w:t>
      </w:r>
      <w:r w:rsidRPr="00EF7264">
        <w:t>”</w:t>
      </w:r>
      <w:r w:rsidRPr="00EF7264">
        <w:t>，我们用置换重要性（</w:t>
      </w:r>
      <w:r w:rsidRPr="00EF7264">
        <w:t>Permutation Importance</w:t>
      </w:r>
      <w:r w:rsidRPr="00EF7264">
        <w:t>）评估单个特征对预测误差的边际贡献。结论是：</w:t>
      </w:r>
      <w:r w:rsidRPr="00EF7264">
        <w:rPr>
          <w:b/>
          <w:bCs/>
        </w:rPr>
        <w:t>关键信息来源会随预测期从高频资产价格向宏观变量迁移</w:t>
      </w:r>
      <w:r w:rsidRPr="00EF7264">
        <w:t>。</w:t>
      </w:r>
    </w:p>
    <w:p w14:paraId="5231CB50" w14:textId="77777777" w:rsidR="00EF7264" w:rsidRPr="00EF7264" w:rsidRDefault="00EF7264" w:rsidP="00EF7264">
      <w:pPr>
        <w:numPr>
          <w:ilvl w:val="0"/>
          <w:numId w:val="10"/>
        </w:numPr>
      </w:pPr>
      <w:r w:rsidRPr="00EF7264">
        <w:rPr>
          <w:b/>
          <w:bCs/>
        </w:rPr>
        <w:t>H=1</w:t>
      </w:r>
      <w:r w:rsidRPr="00EF7264">
        <w:t xml:space="preserve"> </w:t>
      </w:r>
      <w:r w:rsidRPr="00EF7264">
        <w:t>时，重要性更集中在与美元指数高度联动的外汇与资产价格变量，例如</w:t>
      </w:r>
      <w:r w:rsidRPr="00EF7264">
        <w:t xml:space="preserve"> USD_EUR</w:t>
      </w:r>
      <w:r w:rsidRPr="00EF7264">
        <w:t>、</w:t>
      </w:r>
      <w:r w:rsidRPr="00EF7264">
        <w:t>USD_Futures</w:t>
      </w:r>
      <w:r w:rsidRPr="00EF7264">
        <w:t>、滞后收益、美国股指等，说明短期更像</w:t>
      </w:r>
      <w:r w:rsidRPr="00EF7264">
        <w:t>“</w:t>
      </w:r>
      <w:r w:rsidRPr="00EF7264">
        <w:t>价格</w:t>
      </w:r>
      <w:r w:rsidRPr="00EF7264">
        <w:t>—</w:t>
      </w:r>
      <w:r w:rsidRPr="00EF7264">
        <w:t>价格</w:t>
      </w:r>
      <w:r w:rsidRPr="00EF7264">
        <w:t>”</w:t>
      </w:r>
      <w:r w:rsidRPr="00EF7264">
        <w:t>的联动与冲击传导。</w:t>
      </w:r>
    </w:p>
    <w:p w14:paraId="5B51AFE6" w14:textId="77777777" w:rsidR="00EF7264" w:rsidRPr="00EF7264" w:rsidRDefault="00EF7264" w:rsidP="00EF7264">
      <w:pPr>
        <w:numPr>
          <w:ilvl w:val="0"/>
          <w:numId w:val="10"/>
        </w:numPr>
      </w:pPr>
      <w:r w:rsidRPr="00EF7264">
        <w:lastRenderedPageBreak/>
        <w:t>当</w:t>
      </w:r>
      <w:r w:rsidRPr="00EF7264">
        <w:t xml:space="preserve"> </w:t>
      </w:r>
      <w:r w:rsidRPr="00EF7264">
        <w:rPr>
          <w:b/>
          <w:bCs/>
        </w:rPr>
        <w:t>H≥5</w:t>
      </w:r>
      <w:r w:rsidRPr="00EF7264">
        <w:t xml:space="preserve"> </w:t>
      </w:r>
      <w:r w:rsidRPr="00EF7264">
        <w:t>时，通胀、利率、期限结构与技术指标的重要性明显上升。以表现最优的</w:t>
      </w:r>
      <w:r w:rsidRPr="00EF7264">
        <w:t xml:space="preserve"> LightGBM </w:t>
      </w:r>
      <w:r w:rsidRPr="00EF7264">
        <w:t>为例：在</w:t>
      </w:r>
      <w:r w:rsidRPr="00EF7264">
        <w:t xml:space="preserve"> H=10 </w:t>
      </w:r>
      <w:r w:rsidRPr="00EF7264">
        <w:t>与</w:t>
      </w:r>
      <w:r w:rsidRPr="00EF7264">
        <w:t xml:space="preserve"> H=20</w:t>
      </w:r>
      <w:r w:rsidRPr="00EF7264">
        <w:t>，通胀、利率类变量以及</w:t>
      </w:r>
      <w:r w:rsidRPr="00EF7264">
        <w:t xml:space="preserve"> BBW</w:t>
      </w:r>
      <w:r w:rsidRPr="00EF7264">
        <w:t>、</w:t>
      </w:r>
      <w:r w:rsidRPr="00EF7264">
        <w:t xml:space="preserve">MA_Gap </w:t>
      </w:r>
      <w:r w:rsidRPr="00EF7264">
        <w:t>等技术指标共同成为关键驱动。</w:t>
      </w:r>
      <w:r w:rsidRPr="00EF7264">
        <w:br/>
      </w:r>
      <w:r w:rsidRPr="00EF7264">
        <w:t>用一句话概括：</w:t>
      </w:r>
      <w:r w:rsidRPr="00EF7264">
        <w:rPr>
          <w:b/>
          <w:bCs/>
        </w:rPr>
        <w:t>短期靠金融价格的联动，中长期更多体现宏观与风险溢价通道叠加技术面结构。</w:t>
      </w:r>
    </w:p>
    <w:p w14:paraId="67D603B6" w14:textId="77777777" w:rsidR="00EF7264" w:rsidRPr="00EF7264" w:rsidRDefault="00EF7264" w:rsidP="00EF7264">
      <w:r w:rsidRPr="00EF7264">
        <w:pict w14:anchorId="5C79D389">
          <v:rect id="_x0000_i1091" style="width:0;height:1.5pt" o:hralign="center" o:hrstd="t" o:hr="t" fillcolor="#a0a0a0" stroked="f"/>
        </w:pict>
      </w:r>
    </w:p>
    <w:p w14:paraId="1859524F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9’50”–10’50” </w:t>
      </w:r>
      <w:r w:rsidRPr="00EF7264">
        <w:rPr>
          <w:b/>
          <w:bCs/>
        </w:rPr>
        <w:t>拓展一：动态重要性与结构变化（建议页：动态特征重要性）</w:t>
      </w:r>
    </w:p>
    <w:p w14:paraId="7E981064" w14:textId="06C68AC3" w:rsidR="00EF7264" w:rsidRPr="00EF7264" w:rsidRDefault="00EF7264" w:rsidP="00F945A9">
      <w:pPr>
        <w:tabs>
          <w:tab w:val="num" w:pos="720"/>
        </w:tabs>
      </w:pPr>
      <w:r w:rsidRPr="00EF7264">
        <w:t>静态的重要性是</w:t>
      </w:r>
      <w:r w:rsidRPr="00EF7264">
        <w:t>“</w:t>
      </w:r>
      <w:r w:rsidRPr="00EF7264">
        <w:t>全测试期平均</w:t>
      </w:r>
      <w:r w:rsidRPr="00EF7264">
        <w:t>”</w:t>
      </w:r>
      <w:r w:rsidRPr="00EF7264">
        <w:t>，但汇率机制可能随宏观环境变化而漂移，所以我们做了</w:t>
      </w:r>
      <w:r w:rsidRPr="00EF7264">
        <w:rPr>
          <w:b/>
          <w:bCs/>
        </w:rPr>
        <w:t>滚动窗口的动态特征重要性</w:t>
      </w:r>
      <w:r w:rsidRPr="00EF7264">
        <w:t>：以</w:t>
      </w:r>
      <w:r w:rsidRPr="00EF7264">
        <w:t xml:space="preserve"> 252 </w:t>
      </w:r>
      <w:r w:rsidRPr="00EF7264">
        <w:t>个交易日为窗口、步长</w:t>
      </w:r>
      <w:r w:rsidRPr="00EF7264">
        <w:t xml:space="preserve"> 21 </w:t>
      </w:r>
      <w:r w:rsidRPr="00EF7264">
        <w:t>日向前滚动，在每个窗口重新训练并计算重要性，从而得到重要性随时间的序列</w:t>
      </w:r>
      <w:r w:rsidR="00F945A9">
        <w:rPr>
          <w:rFonts w:hint="eastAsia"/>
        </w:rPr>
        <w:t>。总体来说，</w:t>
      </w:r>
      <w:r w:rsidRPr="00EF7264">
        <w:rPr>
          <w:b/>
          <w:bCs/>
        </w:rPr>
        <w:t>期限越长，主导因素越偏低频，更稳定，也更容易被树模型捕捉。</w:t>
      </w:r>
    </w:p>
    <w:p w14:paraId="2AB9D167" w14:textId="77777777" w:rsidR="00EF7264" w:rsidRPr="00EF7264" w:rsidRDefault="00EF7264" w:rsidP="00EF7264">
      <w:r w:rsidRPr="00EF7264">
        <w:pict w14:anchorId="48B50C21">
          <v:rect id="_x0000_i1092" style="width:0;height:1.5pt" o:hralign="center" o:hrstd="t" o:hr="t" fillcolor="#a0a0a0" stroked="f"/>
        </w:pict>
      </w:r>
    </w:p>
    <w:p w14:paraId="35A326AC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10’50”–12’10” </w:t>
      </w:r>
      <w:r w:rsidRPr="00EF7264">
        <w:rPr>
          <w:b/>
          <w:bCs/>
        </w:rPr>
        <w:t>拓展二：经济检验</w:t>
      </w:r>
      <w:r w:rsidRPr="00EF7264">
        <w:rPr>
          <w:b/>
          <w:bCs/>
        </w:rPr>
        <w:t>——</w:t>
      </w:r>
      <w:r w:rsidRPr="00EF7264">
        <w:rPr>
          <w:b/>
          <w:bCs/>
        </w:rPr>
        <w:t>统计显著能否变成钱（建议页：经济价值检验）</w:t>
      </w:r>
    </w:p>
    <w:p w14:paraId="4F0F6E8C" w14:textId="71FD0485" w:rsidR="00EF7264" w:rsidRPr="00EF7264" w:rsidRDefault="00EF7264" w:rsidP="00EF7264">
      <w:r w:rsidRPr="00EF7264">
        <w:t>仅有</w:t>
      </w:r>
      <w:r w:rsidR="004E7889">
        <w:rPr>
          <w:rFonts w:hint="eastAsia"/>
        </w:rPr>
        <w:t>数值</w:t>
      </w:r>
      <w:r w:rsidRPr="00EF7264">
        <w:t>指标改进并不等价于可交易收益，所以我们做了经济层检验：把预测值映射为仓位信号。规则非常简洁：</w:t>
      </w:r>
    </w:p>
    <w:p w14:paraId="1E10D770" w14:textId="77777777" w:rsidR="00EF7264" w:rsidRPr="00EF7264" w:rsidRDefault="00EF7264" w:rsidP="00EF7264">
      <w:pPr>
        <w:numPr>
          <w:ilvl w:val="0"/>
          <w:numId w:val="12"/>
        </w:numPr>
      </w:pPr>
      <w:r w:rsidRPr="00EF7264">
        <w:t>设定阈值</w:t>
      </w:r>
      <w:r w:rsidRPr="00EF7264">
        <w:t xml:space="preserve"> τ</w:t>
      </w:r>
      <w:r w:rsidRPr="00EF7264">
        <w:t>，当预测收益率大于</w:t>
      </w:r>
      <w:r w:rsidRPr="00EF7264">
        <w:t xml:space="preserve"> τ </w:t>
      </w:r>
      <w:r w:rsidRPr="00EF7264">
        <w:t>时做多，小于</w:t>
      </w:r>
      <w:r w:rsidRPr="00EF7264">
        <w:t xml:space="preserve"> -τ </w:t>
      </w:r>
      <w:r w:rsidRPr="00EF7264">
        <w:t>时做空，否则空仓；</w:t>
      </w:r>
    </w:p>
    <w:p w14:paraId="0725B0B8" w14:textId="77777777" w:rsidR="00EF7264" w:rsidRPr="00EF7264" w:rsidRDefault="00EF7264" w:rsidP="00EF7264">
      <w:pPr>
        <w:numPr>
          <w:ilvl w:val="0"/>
          <w:numId w:val="12"/>
        </w:numPr>
      </w:pPr>
      <w:r w:rsidRPr="00EF7264">
        <w:t>按仓位变化计入换仓成本</w:t>
      </w:r>
      <w:r w:rsidRPr="00EF7264">
        <w:t xml:space="preserve"> tc</w:t>
      </w:r>
      <w:r w:rsidRPr="00EF7264">
        <w:t>；</w:t>
      </w:r>
    </w:p>
    <w:p w14:paraId="4BF92BD4" w14:textId="259F6460" w:rsidR="00EF7264" w:rsidRPr="00EF7264" w:rsidRDefault="00EF7264" w:rsidP="00EF7264">
      <w:pPr>
        <w:numPr>
          <w:ilvl w:val="0"/>
          <w:numId w:val="12"/>
        </w:numPr>
      </w:pPr>
      <w:r w:rsidRPr="00EF7264">
        <w:t>为匹配不同</w:t>
      </w:r>
      <w:r w:rsidRPr="00EF7264">
        <w:t xml:space="preserve"> H </w:t>
      </w:r>
      <w:r w:rsidRPr="00EF7264">
        <w:t>的持有期，我们把测试日分成</w:t>
      </w:r>
      <w:r w:rsidRPr="00EF7264">
        <w:rPr>
          <w:b/>
          <w:bCs/>
        </w:rPr>
        <w:t>0</w:t>
      </w:r>
      <w:r w:rsidRPr="00EF7264">
        <w:rPr>
          <w:b/>
          <w:bCs/>
        </w:rPr>
        <w:t>到</w:t>
      </w:r>
      <w:r w:rsidRPr="00EF7264">
        <w:rPr>
          <w:b/>
          <w:bCs/>
        </w:rPr>
        <w:t>H-1</w:t>
      </w:r>
      <w:r w:rsidRPr="00EF7264">
        <w:rPr>
          <w:b/>
          <w:bCs/>
        </w:rPr>
        <w:t>共</w:t>
      </w:r>
      <w:r w:rsidRPr="00EF7264">
        <w:rPr>
          <w:b/>
          <w:bCs/>
        </w:rPr>
        <w:t>H</w:t>
      </w:r>
      <w:r w:rsidRPr="00EF7264">
        <w:rPr>
          <w:b/>
          <w:bCs/>
        </w:rPr>
        <w:t>个</w:t>
      </w:r>
      <w:r w:rsidRPr="00EF7264">
        <w:rPr>
          <w:b/>
          <w:bCs/>
        </w:rPr>
        <w:t xml:space="preserve"> phase</w:t>
      </w:r>
      <w:r w:rsidRPr="00EF7264">
        <w:t>，每个</w:t>
      </w:r>
      <w:r w:rsidRPr="00EF7264">
        <w:t xml:space="preserve"> phase </w:t>
      </w:r>
      <w:r w:rsidRPr="00EF7264">
        <w:t>内交易日间隔</w:t>
      </w:r>
      <w:r w:rsidRPr="00EF7264">
        <w:t xml:space="preserve"> H </w:t>
      </w:r>
      <w:r w:rsidRPr="00EF7264">
        <w:t>天，从而实现</w:t>
      </w:r>
      <w:r w:rsidRPr="00EF7264">
        <w:rPr>
          <w:b/>
          <w:bCs/>
        </w:rPr>
        <w:t>非重叠持有期评估</w:t>
      </w:r>
      <w:r w:rsidRPr="00EF7264">
        <w:t>，再对</w:t>
      </w:r>
      <w:r w:rsidRPr="00EF7264">
        <w:t>H</w:t>
      </w:r>
      <w:r w:rsidR="00C65A1B">
        <w:rPr>
          <w:rFonts w:hint="eastAsia"/>
        </w:rPr>
        <w:t>个阶段</w:t>
      </w:r>
      <w:r w:rsidRPr="00EF7264">
        <w:t>的绩效取平均，避免收益序列重叠导致的</w:t>
      </w:r>
      <w:r w:rsidRPr="00EF7264">
        <w:t>“</w:t>
      </w:r>
      <w:r w:rsidRPr="00EF7264">
        <w:t>虚高频率</w:t>
      </w:r>
      <w:r w:rsidRPr="00EF7264">
        <w:t>”</w:t>
      </w:r>
      <w:r w:rsidRPr="00EF7264">
        <w:t>。</w:t>
      </w:r>
      <w:r w:rsidRPr="00EF7264">
        <w:br/>
      </w:r>
      <w:r w:rsidRPr="00EF7264">
        <w:t>结果非常清晰：在考虑交易成本后，很多期限下模型策略仍能显著改善风险调整收益，且</w:t>
      </w:r>
      <w:r w:rsidRPr="00EF7264">
        <w:rPr>
          <w:b/>
          <w:bCs/>
        </w:rPr>
        <w:t>优势随</w:t>
      </w:r>
      <w:r w:rsidRPr="00EF7264">
        <w:rPr>
          <w:b/>
          <w:bCs/>
        </w:rPr>
        <w:t xml:space="preserve"> H </w:t>
      </w:r>
      <w:r w:rsidRPr="00EF7264">
        <w:rPr>
          <w:b/>
          <w:bCs/>
        </w:rPr>
        <w:t>增大而增强</w:t>
      </w:r>
      <w:r w:rsidRPr="00EF7264">
        <w:t>。例如在</w:t>
      </w:r>
      <w:r w:rsidRPr="00EF7264">
        <w:t xml:space="preserve"> </w:t>
      </w:r>
      <w:r w:rsidRPr="00EF7264">
        <w:rPr>
          <w:b/>
          <w:bCs/>
        </w:rPr>
        <w:t>H=20</w:t>
      </w:r>
      <w:r w:rsidRPr="00EF7264">
        <w:t xml:space="preserve"> </w:t>
      </w:r>
      <w:r w:rsidRPr="00EF7264">
        <w:t>时，</w:t>
      </w:r>
      <w:r w:rsidRPr="00EF7264">
        <w:t xml:space="preserve">LightGBM </w:t>
      </w:r>
      <w:r w:rsidRPr="00EF7264">
        <w:t>的年化</w:t>
      </w:r>
      <w:r w:rsidRPr="00EF7264">
        <w:t xml:space="preserve"> Sharpe </w:t>
      </w:r>
      <w:r w:rsidRPr="00EF7264">
        <w:t>可达到</w:t>
      </w:r>
      <w:r w:rsidRPr="00EF7264">
        <w:t xml:space="preserve"> </w:t>
      </w:r>
      <w:r w:rsidRPr="00EF7264">
        <w:rPr>
          <w:b/>
          <w:bCs/>
        </w:rPr>
        <w:t xml:space="preserve">3.7 </w:t>
      </w:r>
      <w:r w:rsidRPr="00EF7264">
        <w:rPr>
          <w:b/>
          <w:bCs/>
        </w:rPr>
        <w:t>左右</w:t>
      </w:r>
      <w:r w:rsidRPr="00EF7264">
        <w:t>，同时最大回撤显著小于基准买入持有；在较短期限</w:t>
      </w:r>
      <w:r w:rsidRPr="00EF7264">
        <w:t xml:space="preserve"> H=1 </w:t>
      </w:r>
      <w:r w:rsidRPr="00EF7264">
        <w:t>时，适当提高阈值还能降低换手、改善回撤与</w:t>
      </w:r>
      <w:r w:rsidRPr="00EF7264">
        <w:t xml:space="preserve"> Sharpe</w:t>
      </w:r>
      <w:r w:rsidRPr="00EF7264">
        <w:t>，说明过滤弱信号交易是必要的。</w:t>
      </w:r>
    </w:p>
    <w:p w14:paraId="31134B91" w14:textId="77777777" w:rsidR="00EF7264" w:rsidRPr="00EF7264" w:rsidRDefault="00EF7264" w:rsidP="00EF7264">
      <w:r w:rsidRPr="00EF7264">
        <w:pict w14:anchorId="649F3443">
          <v:rect id="_x0000_i1093" style="width:0;height:1.5pt" o:hralign="center" o:hrstd="t" o:hr="t" fillcolor="#a0a0a0" stroked="f"/>
        </w:pict>
      </w:r>
    </w:p>
    <w:p w14:paraId="4C46D490" w14:textId="77777777" w:rsidR="00EF7264" w:rsidRPr="00EF7264" w:rsidRDefault="00EF7264" w:rsidP="00EF7264">
      <w:pPr>
        <w:rPr>
          <w:b/>
          <w:bCs/>
        </w:rPr>
      </w:pPr>
      <w:r w:rsidRPr="00EF7264">
        <w:rPr>
          <w:b/>
          <w:bCs/>
        </w:rPr>
        <w:t xml:space="preserve">12’10”–13’00” </w:t>
      </w:r>
      <w:r w:rsidRPr="00EF7264">
        <w:rPr>
          <w:b/>
          <w:bCs/>
        </w:rPr>
        <w:t>结论与展望（建议页：结论）</w:t>
      </w:r>
    </w:p>
    <w:p w14:paraId="54557ED0" w14:textId="73B8165A" w:rsidR="00EF7264" w:rsidRPr="00EF7264" w:rsidRDefault="00EF7264" w:rsidP="00EF7264">
      <w:r w:rsidRPr="00EF7264">
        <w:t>最后总结三点：</w:t>
      </w:r>
      <w:r w:rsidRPr="00EF7264">
        <w:br/>
      </w:r>
      <w:r w:rsidRPr="00EF7264">
        <w:t>第一，机器学习在美元指数预测中</w:t>
      </w:r>
      <w:r w:rsidRPr="00EF7264">
        <w:rPr>
          <w:b/>
          <w:bCs/>
        </w:rPr>
        <w:t>确实能在样本外战胜随机游走</w:t>
      </w:r>
      <w:r w:rsidRPr="00EF7264">
        <w:t>，但这种优势高度依赖预测期限：</w:t>
      </w:r>
      <w:r w:rsidRPr="00EF7264">
        <w:t xml:space="preserve">H=1 </w:t>
      </w:r>
      <w:r w:rsidRPr="00EF7264">
        <w:t>改进有限且线性模型更稳健；</w:t>
      </w:r>
      <w:r w:rsidRPr="00EF7264">
        <w:t xml:space="preserve">H=5/10/20 </w:t>
      </w:r>
      <w:r w:rsidRPr="00EF7264">
        <w:t>树模型优势快速扩大，</w:t>
      </w:r>
      <w:r w:rsidRPr="00EF7264">
        <w:t xml:space="preserve">LightGBM </w:t>
      </w:r>
      <w:r w:rsidRPr="00EF7264">
        <w:t>在</w:t>
      </w:r>
      <w:r w:rsidRPr="00EF7264">
        <w:t xml:space="preserve"> H=20 </w:t>
      </w:r>
      <w:r w:rsidRPr="00EF7264">
        <w:t>的预测提升最显著。</w:t>
      </w:r>
      <w:r w:rsidRPr="00EF7264">
        <w:br/>
      </w:r>
      <w:r w:rsidRPr="00EF7264">
        <w:t>第二，可解释性结果显示：</w:t>
      </w:r>
      <w:r w:rsidRPr="00EF7264">
        <w:rPr>
          <w:b/>
          <w:bCs/>
        </w:rPr>
        <w:t>关键驱动随期限从高频价格信号迁移到宏观变量与期限结</w:t>
      </w:r>
      <w:r w:rsidRPr="00EF7264">
        <w:rPr>
          <w:b/>
          <w:bCs/>
        </w:rPr>
        <w:lastRenderedPageBreak/>
        <w:t>构</w:t>
      </w:r>
      <w:r w:rsidRPr="00EF7264">
        <w:t>，并呈现一定时变性。</w:t>
      </w:r>
      <w:r w:rsidRPr="00EF7264">
        <w:br/>
      </w:r>
      <w:r w:rsidRPr="00EF7264">
        <w:t>第三，经济检验表明：统计层面的改进在合理交易规则与成本设定下，能够转化为更高的风险调整收益与更小回撤，具有明确的经济意义。</w:t>
      </w:r>
      <w:r w:rsidRPr="00EF7264">
        <w:br/>
      </w:r>
      <w:r w:rsidRPr="00EF7264">
        <w:t>展望方面，后续可以进一步引入更贴近真实交易摩擦的成本结构、仓位约束与风险预算，</w:t>
      </w:r>
      <w:r w:rsidR="00586449">
        <w:rPr>
          <w:rFonts w:hint="eastAsia"/>
        </w:rPr>
        <w:t>以及更加复杂的预测模型，</w:t>
      </w:r>
      <w:r w:rsidR="00DD0572" w:rsidRPr="00B80092">
        <w:rPr>
          <w:rFonts w:hint="eastAsia"/>
          <w:color w:val="EE0000"/>
        </w:rPr>
        <w:t>以便进一步检验汇率可预测性与预测</w:t>
      </w:r>
      <w:r w:rsidRPr="00EF7264">
        <w:rPr>
          <w:color w:val="EE0000"/>
        </w:rPr>
        <w:t>的稳健性检验</w:t>
      </w:r>
      <w:r w:rsidRPr="00EF7264">
        <w:t>。</w:t>
      </w:r>
      <w:r w:rsidRPr="00EF7264">
        <w:br/>
      </w:r>
      <w:r w:rsidRPr="00EF7264">
        <w:t>我的汇报到这里，谢谢各位老师和同学。</w:t>
      </w:r>
    </w:p>
    <w:p w14:paraId="6EEEDDFB" w14:textId="77777777" w:rsidR="00EF7264" w:rsidRPr="00EF7264" w:rsidRDefault="00EF7264" w:rsidP="00EF7264">
      <w:r w:rsidRPr="00EF7264">
        <w:pict w14:anchorId="4AA4EC38">
          <v:rect id="_x0000_i1094" style="width:0;height:1.5pt" o:hralign="center" o:hrstd="t" o:hr="t" fillcolor="#a0a0a0" stroked="f"/>
        </w:pict>
      </w:r>
    </w:p>
    <w:p w14:paraId="5CC6E004" w14:textId="77777777" w:rsidR="00EF7264" w:rsidRPr="00EF7264" w:rsidRDefault="00EF7264" w:rsidP="00EF7264">
      <w:r w:rsidRPr="00EF7264">
        <w:t>如果你愿意，我也可以把这份稿子再压缩成</w:t>
      </w:r>
      <w:r w:rsidRPr="00EF7264">
        <w:t>“</w:t>
      </w:r>
      <w:r w:rsidRPr="00EF7264">
        <w:t>更口语、更快节奏</w:t>
      </w:r>
      <w:r w:rsidRPr="00EF7264">
        <w:t>”</w:t>
      </w:r>
      <w:r w:rsidRPr="00EF7264">
        <w:t>的</w:t>
      </w:r>
      <w:r w:rsidRPr="00EF7264">
        <w:t xml:space="preserve"> 11–12 </w:t>
      </w:r>
      <w:r w:rsidRPr="00EF7264">
        <w:t>分钟版本（给答辩</w:t>
      </w:r>
      <w:r w:rsidRPr="00EF7264">
        <w:t xml:space="preserve"> Q&amp;A </w:t>
      </w:r>
      <w:r w:rsidRPr="00EF7264">
        <w:t>留出</w:t>
      </w:r>
      <w:r w:rsidRPr="00EF7264">
        <w:t xml:space="preserve"> 1–2 </w:t>
      </w:r>
      <w:r w:rsidRPr="00EF7264">
        <w:t>分钟），并按你现有</w:t>
      </w:r>
      <w:r w:rsidRPr="00EF7264">
        <w:t xml:space="preserve"> PPT </w:t>
      </w:r>
      <w:r w:rsidRPr="00EF7264">
        <w:t>页数把每一页对应的讲稿句子标注出来。</w:t>
      </w:r>
    </w:p>
    <w:p w14:paraId="0A03874B" w14:textId="77777777" w:rsidR="00DC04CC" w:rsidRPr="00EF7264" w:rsidRDefault="00DC04CC"/>
    <w:sectPr w:rsidR="00DC04CC" w:rsidRPr="00EF7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40EE" w14:textId="77777777" w:rsidR="004F4FC4" w:rsidRDefault="004F4FC4" w:rsidP="0043759C">
      <w:pPr>
        <w:spacing w:after="0" w:line="240" w:lineRule="auto"/>
      </w:pPr>
      <w:r>
        <w:separator/>
      </w:r>
    </w:p>
  </w:endnote>
  <w:endnote w:type="continuationSeparator" w:id="0">
    <w:p w14:paraId="142B9C02" w14:textId="77777777" w:rsidR="004F4FC4" w:rsidRDefault="004F4FC4" w:rsidP="00437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A023C" w14:textId="77777777" w:rsidR="004F4FC4" w:rsidRDefault="004F4FC4" w:rsidP="0043759C">
      <w:pPr>
        <w:spacing w:after="0" w:line="240" w:lineRule="auto"/>
      </w:pPr>
      <w:r>
        <w:separator/>
      </w:r>
    </w:p>
  </w:footnote>
  <w:footnote w:type="continuationSeparator" w:id="0">
    <w:p w14:paraId="63C81FC9" w14:textId="77777777" w:rsidR="004F4FC4" w:rsidRDefault="004F4FC4" w:rsidP="00437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F11"/>
    <w:multiLevelType w:val="hybridMultilevel"/>
    <w:tmpl w:val="B2644254"/>
    <w:lvl w:ilvl="0" w:tplc="0C9E74D8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CC4336"/>
    <w:multiLevelType w:val="multilevel"/>
    <w:tmpl w:val="670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3C9B"/>
    <w:multiLevelType w:val="multilevel"/>
    <w:tmpl w:val="6C0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916B1"/>
    <w:multiLevelType w:val="hybridMultilevel"/>
    <w:tmpl w:val="910C2418"/>
    <w:lvl w:ilvl="0" w:tplc="86DE8358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7400B86"/>
    <w:multiLevelType w:val="multilevel"/>
    <w:tmpl w:val="AFB4363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8241E82"/>
    <w:multiLevelType w:val="multilevel"/>
    <w:tmpl w:val="396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E1F66"/>
    <w:multiLevelType w:val="multilevel"/>
    <w:tmpl w:val="AD2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F2989"/>
    <w:multiLevelType w:val="multilevel"/>
    <w:tmpl w:val="47B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04994">
    <w:abstractNumId w:val="0"/>
  </w:num>
  <w:num w:numId="2" w16cid:durableId="1640302311">
    <w:abstractNumId w:val="0"/>
  </w:num>
  <w:num w:numId="3" w16cid:durableId="461314110">
    <w:abstractNumId w:val="3"/>
  </w:num>
  <w:num w:numId="4" w16cid:durableId="94980528">
    <w:abstractNumId w:val="0"/>
  </w:num>
  <w:num w:numId="5" w16cid:durableId="675621595">
    <w:abstractNumId w:val="0"/>
  </w:num>
  <w:num w:numId="6" w16cid:durableId="1788741105">
    <w:abstractNumId w:val="4"/>
  </w:num>
  <w:num w:numId="7" w16cid:durableId="386804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364609">
    <w:abstractNumId w:val="1"/>
  </w:num>
  <w:num w:numId="9" w16cid:durableId="1315525990">
    <w:abstractNumId w:val="2"/>
  </w:num>
  <w:num w:numId="10" w16cid:durableId="1345939878">
    <w:abstractNumId w:val="7"/>
  </w:num>
  <w:num w:numId="11" w16cid:durableId="1132135062">
    <w:abstractNumId w:val="6"/>
  </w:num>
  <w:num w:numId="12" w16cid:durableId="1983462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45"/>
    <w:rsid w:val="00082AF4"/>
    <w:rsid w:val="00092B38"/>
    <w:rsid w:val="0017037D"/>
    <w:rsid w:val="00290F9A"/>
    <w:rsid w:val="002A0BF1"/>
    <w:rsid w:val="002D3930"/>
    <w:rsid w:val="002F3A77"/>
    <w:rsid w:val="003A6D6E"/>
    <w:rsid w:val="0043759C"/>
    <w:rsid w:val="004E7889"/>
    <w:rsid w:val="004F4FC4"/>
    <w:rsid w:val="00586449"/>
    <w:rsid w:val="00631DB6"/>
    <w:rsid w:val="00663D6B"/>
    <w:rsid w:val="00670977"/>
    <w:rsid w:val="00693345"/>
    <w:rsid w:val="0071481A"/>
    <w:rsid w:val="00743B52"/>
    <w:rsid w:val="00814EFC"/>
    <w:rsid w:val="008157B8"/>
    <w:rsid w:val="008F4D3E"/>
    <w:rsid w:val="009418AE"/>
    <w:rsid w:val="0099000B"/>
    <w:rsid w:val="00B74DAD"/>
    <w:rsid w:val="00B80092"/>
    <w:rsid w:val="00BB2095"/>
    <w:rsid w:val="00C107FF"/>
    <w:rsid w:val="00C65A1B"/>
    <w:rsid w:val="00DA7092"/>
    <w:rsid w:val="00DB4EE1"/>
    <w:rsid w:val="00DC04CC"/>
    <w:rsid w:val="00DD0572"/>
    <w:rsid w:val="00E52292"/>
    <w:rsid w:val="00EA651F"/>
    <w:rsid w:val="00ED71E2"/>
    <w:rsid w:val="00EF7264"/>
    <w:rsid w:val="00EF7C3F"/>
    <w:rsid w:val="00F9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26812"/>
  <w15:chartTrackingRefBased/>
  <w15:docId w15:val="{61ECFDA1-B0E6-437B-9F77-1981C478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楷体" w:hAnsi="Times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092B38"/>
    <w:pPr>
      <w:keepNext/>
      <w:keepLines/>
      <w:numPr>
        <w:numId w:val="6"/>
      </w:numPr>
      <w:spacing w:beforeLines="50" w:before="156" w:afterLines="50" w:after="156" w:line="360" w:lineRule="auto"/>
      <w:jc w:val="center"/>
      <w:outlineLvl w:val="0"/>
    </w:pPr>
    <w:rPr>
      <w:rFonts w:cstheme="majorBidi"/>
      <w:b/>
      <w:sz w:val="30"/>
      <w:szCs w:val="48"/>
    </w:rPr>
  </w:style>
  <w:style w:type="paragraph" w:styleId="2">
    <w:name w:val="heading 2"/>
    <w:aliases w:val="二级标题"/>
    <w:basedOn w:val="a"/>
    <w:next w:val="a"/>
    <w:link w:val="20"/>
    <w:uiPriority w:val="9"/>
    <w:unhideWhenUsed/>
    <w:qFormat/>
    <w:rsid w:val="00092B38"/>
    <w:pPr>
      <w:keepNext/>
      <w:keepLines/>
      <w:tabs>
        <w:tab w:val="num" w:pos="720"/>
      </w:tabs>
      <w:spacing w:beforeLines="50" w:before="50" w:afterLines="50" w:after="50" w:line="360" w:lineRule="auto"/>
      <w:ind w:left="442" w:hanging="442"/>
      <w:outlineLvl w:val="1"/>
    </w:pPr>
    <w:rPr>
      <w:rFonts w:ascii="Times New Roman" w:hAnsi="Times New Roman" w:cstheme="majorBidi"/>
      <w:b/>
      <w:sz w:val="28"/>
      <w:szCs w:val="40"/>
    </w:rPr>
  </w:style>
  <w:style w:type="paragraph" w:styleId="3">
    <w:name w:val="heading 3"/>
    <w:aliases w:val="四级标题"/>
    <w:basedOn w:val="a"/>
    <w:next w:val="a"/>
    <w:link w:val="30"/>
    <w:autoRedefine/>
    <w:uiPriority w:val="9"/>
    <w:unhideWhenUsed/>
    <w:qFormat/>
    <w:rsid w:val="00EF7C3F"/>
    <w:pPr>
      <w:keepNext/>
      <w:keepLines/>
      <w:spacing w:before="160" w:after="80"/>
      <w:outlineLvl w:val="2"/>
    </w:pPr>
    <w:rPr>
      <w:rFonts w:asciiTheme="majorHAnsi" w:hAnsiTheme="majorHAnsi" w:cstheme="majorBidi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34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34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34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34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34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3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092B38"/>
    <w:rPr>
      <w:rFonts w:ascii="Times" w:eastAsia="楷体" w:hAnsi="Times" w:cstheme="majorBidi"/>
      <w:b/>
      <w:sz w:val="30"/>
      <w:szCs w:val="48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092B38"/>
    <w:rPr>
      <w:rFonts w:ascii="Times New Roman" w:eastAsia="楷体" w:hAnsi="Times New Roman" w:cstheme="majorBidi"/>
      <w:b/>
      <w:sz w:val="28"/>
      <w:szCs w:val="40"/>
    </w:rPr>
  </w:style>
  <w:style w:type="character" w:customStyle="1" w:styleId="30">
    <w:name w:val="标题 3 字符"/>
    <w:aliases w:val="四级标题 字符"/>
    <w:basedOn w:val="a0"/>
    <w:link w:val="3"/>
    <w:uiPriority w:val="9"/>
    <w:rsid w:val="00EF7C3F"/>
    <w:rPr>
      <w:rFonts w:asciiTheme="majorHAnsi" w:hAnsiTheme="majorHAnsi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3345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3345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3345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334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334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334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33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3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3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3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3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33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33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75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75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75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75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1106</Words>
  <Characters>1947</Characters>
  <Application>Microsoft Office Word</Application>
  <DocSecurity>0</DocSecurity>
  <Lines>216</Lines>
  <Paragraphs>234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子平 李</dc:creator>
  <cp:keywords/>
  <dc:description/>
  <cp:lastModifiedBy>子平 李</cp:lastModifiedBy>
  <cp:revision>30</cp:revision>
  <dcterms:created xsi:type="dcterms:W3CDTF">2025-12-24T07:57:00Z</dcterms:created>
  <dcterms:modified xsi:type="dcterms:W3CDTF">2025-12-24T08:48:00Z</dcterms:modified>
</cp:coreProperties>
</file>