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B738A">
      <w:pPr>
        <w:pStyle w:val="14"/>
        <w:rPr>
          <w:rFonts w:ascii="Times New Roman" w:hAnsi="Times New Roman" w:eastAsia="楷体" w:cs="楷体"/>
          <w:b/>
          <w:bCs/>
          <w:sz w:val="36"/>
          <w:szCs w:val="36"/>
        </w:rPr>
      </w:pPr>
      <w:r>
        <w:rPr>
          <w:rFonts w:ascii="Times New Roman" w:hAnsi="Times New Roman" w:eastAsia="楷体" w:cs="楷体"/>
          <w:b/>
          <w:bCs/>
          <w:sz w:val="36"/>
          <w:szCs w:val="36"/>
        </w:rPr>
        <w:t>基于机器学习模型的汇率预测实证分析</w:t>
      </w:r>
    </w:p>
    <w:p w14:paraId="1220E898">
      <w:pPr>
        <w:spacing w:before="240" w:beforeAutospacing="0" w:after="240" w:afterAutospacing="0"/>
        <w:rPr>
          <w:rFonts w:ascii="Times New Roman" w:hAnsi="Times New Roman" w:eastAsia="楷体" w:cs="楷体"/>
          <w:sz w:val="22"/>
          <w:szCs w:val="22"/>
          <w:lang w:eastAsia="zh-CN"/>
        </w:rPr>
      </w:pPr>
      <w:r>
        <w:rPr>
          <w:rFonts w:ascii="Times New Roman" w:hAnsi="Times New Roman" w:eastAsia="楷体" w:cs="楷体"/>
          <w:b/>
          <w:bCs/>
          <w:sz w:val="22"/>
          <w:szCs w:val="22"/>
          <w:lang w:eastAsia="zh-CN"/>
        </w:rPr>
        <w:t>1. 研究问题与数据介绍</w:t>
      </w:r>
      <w:r>
        <w:rPr>
          <w:rFonts w:ascii="Times New Roman" w:hAnsi="Times New Roman" w:eastAsia="楷体"/>
        </w:rPr>
        <w:br w:type="textWrapping"/>
      </w:r>
      <w:r>
        <w:rPr>
          <w:rFonts w:ascii="Times New Roman" w:hAnsi="Times New Roman" w:eastAsia="楷体"/>
        </w:rPr>
        <w:tab/>
      </w:r>
      <w:r>
        <w:rPr>
          <w:rFonts w:ascii="Times New Roman" w:hAnsi="Times New Roman" w:eastAsia="楷体" w:cs="楷体"/>
          <w:sz w:val="22"/>
          <w:szCs w:val="22"/>
          <w:lang w:eastAsia="zh-CN"/>
        </w:rPr>
        <w:t>本作业以美元指数的日度对数收益率为研究对象，考察多种机器学习方法在汇率预测中的样本外表现。数据来源为英为财情（Investing.com），</w:t>
      </w:r>
      <w:r>
        <w:rPr>
          <w:rFonts w:hint="eastAsia" w:ascii="Times New Roman" w:hAnsi="Times New Roman" w:eastAsia="楷体" w:cs="楷体"/>
          <w:sz w:val="22"/>
          <w:szCs w:val="22"/>
          <w:lang w:val="en-US" w:eastAsia="zh-CN"/>
        </w:rPr>
        <w:t>最终</w:t>
      </w:r>
      <w:r>
        <w:rPr>
          <w:rFonts w:ascii="Times New Roman" w:hAnsi="Times New Roman" w:eastAsia="楷体" w:cs="楷体"/>
          <w:sz w:val="22"/>
          <w:szCs w:val="22"/>
          <w:lang w:eastAsia="zh-CN"/>
        </w:rPr>
        <w:t>样本区间为20</w:t>
      </w:r>
      <w:r>
        <w:rPr>
          <w:rFonts w:hint="eastAsia" w:ascii="Times New Roman" w:hAnsi="Times New Roman" w:eastAsia="楷体" w:cs="楷体"/>
          <w:sz w:val="22"/>
          <w:szCs w:val="22"/>
          <w:lang w:val="en-US" w:eastAsia="zh-CN"/>
        </w:rPr>
        <w:t>06</w:t>
      </w:r>
      <w:r>
        <w:rPr>
          <w:rFonts w:ascii="Times New Roman" w:hAnsi="Times New Roman" w:eastAsia="楷体" w:cs="楷体"/>
          <w:sz w:val="22"/>
          <w:szCs w:val="22"/>
          <w:lang w:eastAsia="zh-CN"/>
        </w:rPr>
        <w:t>年</w:t>
      </w:r>
      <w:r>
        <w:rPr>
          <w:rFonts w:hint="eastAsia" w:ascii="Times New Roman" w:hAnsi="Times New Roman" w:eastAsia="楷体" w:cs="楷体"/>
          <w:sz w:val="22"/>
          <w:szCs w:val="22"/>
          <w:lang w:val="en-US" w:eastAsia="zh-CN"/>
        </w:rPr>
        <w:t>3</w:t>
      </w:r>
      <w:r>
        <w:rPr>
          <w:rFonts w:ascii="Times New Roman" w:hAnsi="Times New Roman" w:eastAsia="楷体" w:cs="楷体"/>
          <w:sz w:val="22"/>
          <w:szCs w:val="22"/>
          <w:lang w:eastAsia="zh-CN"/>
        </w:rPr>
        <w:t>月至20</w:t>
      </w:r>
      <w:r>
        <w:rPr>
          <w:rFonts w:hint="eastAsia" w:ascii="Times New Roman" w:hAnsi="Times New Roman" w:eastAsia="楷体" w:cs="楷体"/>
          <w:sz w:val="22"/>
          <w:szCs w:val="22"/>
          <w:lang w:val="en-US" w:eastAsia="zh-CN"/>
        </w:rPr>
        <w:t>25</w:t>
      </w:r>
      <w:r>
        <w:rPr>
          <w:rFonts w:ascii="Times New Roman" w:hAnsi="Times New Roman" w:eastAsia="楷体" w:cs="楷体"/>
          <w:sz w:val="22"/>
          <w:szCs w:val="22"/>
          <w:lang w:eastAsia="zh-CN"/>
        </w:rPr>
        <w:t>年</w:t>
      </w:r>
      <w:r>
        <w:rPr>
          <w:rFonts w:hint="eastAsia" w:ascii="Times New Roman" w:hAnsi="Times New Roman" w:eastAsia="楷体" w:cs="楷体"/>
          <w:sz w:val="22"/>
          <w:szCs w:val="22"/>
          <w:lang w:val="en-US" w:eastAsia="zh-CN"/>
        </w:rPr>
        <w:t>11</w:t>
      </w:r>
      <w:r>
        <w:rPr>
          <w:rFonts w:ascii="Times New Roman" w:hAnsi="Times New Roman" w:eastAsia="楷体" w:cs="楷体"/>
          <w:sz w:val="22"/>
          <w:szCs w:val="22"/>
          <w:lang w:eastAsia="zh-CN"/>
        </w:rPr>
        <w:t>月，频率</w:t>
      </w:r>
      <w:r>
        <w:rPr>
          <w:rFonts w:hint="eastAsia" w:ascii="Times New Roman" w:hAnsi="Times New Roman" w:eastAsia="楷体" w:cs="楷体"/>
          <w:sz w:val="22"/>
          <w:szCs w:val="22"/>
          <w:lang w:val="en-US" w:eastAsia="zh-CN"/>
        </w:rPr>
        <w:t>为</w:t>
      </w:r>
      <w:r>
        <w:rPr>
          <w:rFonts w:ascii="Times New Roman" w:hAnsi="Times New Roman" w:eastAsia="楷体" w:cs="楷体"/>
          <w:sz w:val="22"/>
          <w:szCs w:val="22"/>
          <w:lang w:eastAsia="zh-CN"/>
        </w:rPr>
        <w:t>日</w:t>
      </w:r>
      <w:r>
        <w:rPr>
          <w:rFonts w:hint="eastAsia" w:ascii="Times New Roman" w:hAnsi="Times New Roman" w:eastAsia="楷体" w:cs="楷体"/>
          <w:sz w:val="22"/>
          <w:szCs w:val="22"/>
          <w:lang w:val="en-US" w:eastAsia="zh-CN"/>
        </w:rPr>
        <w:t>度</w:t>
      </w:r>
      <w:r>
        <w:rPr>
          <w:rFonts w:ascii="Times New Roman" w:hAnsi="Times New Roman" w:eastAsia="楷体" w:cs="楷体"/>
          <w:sz w:val="22"/>
          <w:szCs w:val="22"/>
          <w:lang w:eastAsia="zh-CN"/>
        </w:rPr>
        <w:t>。</w:t>
      </w:r>
      <w:r>
        <w:rPr>
          <w:rFonts w:hint="eastAsia" w:ascii="Times New Roman" w:hAnsi="Times New Roman" w:eastAsia="楷体" w:cs="楷体"/>
          <w:sz w:val="22"/>
          <w:szCs w:val="22"/>
          <w:lang w:val="en-US" w:eastAsia="zh-CN"/>
        </w:rPr>
        <w:t>通过选取美元指数锚定的汇率币种、相关国家利率、国际大宗商品收益率、以及</w:t>
      </w:r>
      <w:r>
        <w:rPr>
          <w:rFonts w:ascii="Times New Roman" w:hAnsi="Times New Roman" w:eastAsia="楷体" w:cs="楷体"/>
          <w:sz w:val="22"/>
          <w:szCs w:val="22"/>
          <w:lang w:eastAsia="zh-CN"/>
        </w:rPr>
        <w:t>在原始</w:t>
      </w:r>
      <w:r>
        <w:rPr>
          <w:rFonts w:hint="eastAsia" w:ascii="Times New Roman" w:hAnsi="Times New Roman" w:eastAsia="楷体" w:cs="楷体"/>
          <w:sz w:val="22"/>
          <w:szCs w:val="22"/>
          <w:lang w:val="en-US" w:eastAsia="zh-CN"/>
        </w:rPr>
        <w:t>汇率</w:t>
      </w:r>
      <w:r>
        <w:rPr>
          <w:rFonts w:ascii="Times New Roman" w:hAnsi="Times New Roman" w:eastAsia="楷体" w:cs="楷体"/>
          <w:sz w:val="22"/>
          <w:szCs w:val="22"/>
          <w:lang w:eastAsia="zh-CN"/>
        </w:rPr>
        <w:t>收益率基础上构造多阶滞后收益率共 36 个解释变量。</w:t>
      </w:r>
    </w:p>
    <w:p w14:paraId="512F0B65">
      <w:pPr>
        <w:spacing w:before="240" w:beforeAutospacing="0" w:after="240" w:afterAutospacing="0"/>
        <w:rPr>
          <w:rFonts w:ascii="Times New Roman" w:hAnsi="Times New Roman" w:eastAsia="楷体" w:cs="楷体"/>
          <w:sz w:val="22"/>
          <w:szCs w:val="22"/>
          <w:lang w:eastAsia="zh-CN"/>
        </w:rPr>
      </w:pPr>
      <w:r>
        <w:rPr>
          <w:rFonts w:ascii="Times New Roman" w:hAnsi="Times New Roman" w:eastAsia="楷体" w:cs="楷体"/>
          <w:b/>
          <w:bCs/>
          <w:sz w:val="22"/>
          <w:szCs w:val="22"/>
          <w:lang w:eastAsia="zh-CN"/>
        </w:rPr>
        <w:t>2. 研究方法</w:t>
      </w:r>
      <w:r>
        <w:rPr>
          <w:rFonts w:ascii="Times New Roman" w:hAnsi="Times New Roman" w:eastAsia="楷体"/>
        </w:rPr>
        <w:br w:type="textWrapping"/>
      </w:r>
      <w:r>
        <w:rPr>
          <w:rFonts w:ascii="Times New Roman" w:hAnsi="Times New Roman" w:eastAsia="楷体" w:cs="楷体"/>
          <w:sz w:val="22"/>
          <w:szCs w:val="22"/>
          <w:lang w:eastAsia="zh-CN"/>
        </w:rPr>
        <w:t xml:space="preserve"> </w:t>
      </w:r>
      <w:r>
        <w:rPr>
          <w:rFonts w:hint="eastAsia" w:ascii="Times New Roman" w:hAnsi="Times New Roman" w:eastAsia="楷体" w:cs="楷体"/>
          <w:sz w:val="22"/>
          <w:szCs w:val="22"/>
          <w:lang w:val="en-US" w:eastAsia="zh-CN"/>
        </w:rPr>
        <w:tab/>
      </w:r>
      <w:r>
        <w:rPr>
          <w:rFonts w:ascii="Times New Roman" w:hAnsi="Times New Roman" w:eastAsia="楷体" w:cs="楷体"/>
          <w:sz w:val="22"/>
          <w:szCs w:val="22"/>
          <w:lang w:eastAsia="zh-CN"/>
        </w:rPr>
        <w:t>为避免信息泄露，本文按照时间顺序将样本划分为训练集、验证集和测试集，在验证集上调参并在测试集上评估样本外预测能力。在线性模型方面，选取Ridge</w:t>
      </w:r>
      <w:r>
        <w:rPr>
          <w:rFonts w:hint="eastAsia" w:ascii="Times New Roman" w:hAnsi="Times New Roman" w:eastAsia="楷体" w:cs="楷体"/>
          <w:sz w:val="22"/>
          <w:szCs w:val="22"/>
          <w:lang w:val="en-US" w:eastAsia="zh-CN"/>
        </w:rPr>
        <w:t>和LASSO回归，</w:t>
      </w:r>
      <w:r>
        <w:rPr>
          <w:rFonts w:ascii="Times New Roman" w:hAnsi="Times New Roman" w:eastAsia="楷体" w:cs="楷体"/>
          <w:sz w:val="22"/>
          <w:szCs w:val="22"/>
          <w:lang w:eastAsia="zh-CN"/>
        </w:rPr>
        <w:t>在非线性模型方面</w:t>
      </w:r>
      <w:r>
        <w:rPr>
          <w:rFonts w:hint="eastAsia" w:ascii="Times New Roman" w:hAnsi="Times New Roman" w:eastAsia="楷体" w:cs="楷体"/>
          <w:sz w:val="22"/>
          <w:szCs w:val="22"/>
          <w:lang w:eastAsia="zh-CN"/>
        </w:rPr>
        <w:t>，</w:t>
      </w:r>
      <w:r>
        <w:rPr>
          <w:rFonts w:ascii="Times New Roman" w:hAnsi="Times New Roman" w:eastAsia="楷体" w:cs="楷体"/>
          <w:sz w:val="22"/>
          <w:szCs w:val="22"/>
          <w:lang w:eastAsia="zh-CN"/>
        </w:rPr>
        <w:t>采用随机森林、XGBoost以及LST</w:t>
      </w:r>
      <w:r>
        <w:rPr>
          <w:rFonts w:hint="eastAsia" w:ascii="Times New Roman" w:hAnsi="Times New Roman" w:eastAsia="楷体" w:cs="楷体"/>
          <w:sz w:val="22"/>
          <w:szCs w:val="22"/>
          <w:lang w:val="en-US" w:eastAsia="zh-CN"/>
        </w:rPr>
        <w:t>M</w:t>
      </w:r>
      <w:r>
        <w:rPr>
          <w:rFonts w:ascii="Times New Roman" w:hAnsi="Times New Roman" w:eastAsia="楷体" w:cs="楷体"/>
          <w:sz w:val="22"/>
          <w:szCs w:val="22"/>
          <w:lang w:eastAsia="zh-CN"/>
        </w:rPr>
        <w:t>模型进行比较，部分扩展模型如 Attention-LSTM、Transformer的结果列于附录</w:t>
      </w:r>
      <w:r>
        <w:rPr>
          <w:rFonts w:hint="eastAsia" w:ascii="Times New Roman" w:hAnsi="Times New Roman" w:eastAsia="楷体" w:cs="楷体"/>
          <w:sz w:val="22"/>
          <w:szCs w:val="22"/>
          <w:lang w:val="en-US" w:eastAsia="zh-CN"/>
        </w:rPr>
        <w:t>C</w:t>
      </w:r>
      <w:r>
        <w:rPr>
          <w:rFonts w:ascii="Times New Roman" w:hAnsi="Times New Roman" w:eastAsia="楷体" w:cs="楷体"/>
          <w:sz w:val="22"/>
          <w:szCs w:val="22"/>
          <w:lang w:eastAsia="zh-CN"/>
        </w:rPr>
        <w:t>。模型性能主要通过测试集</w:t>
      </w:r>
      <w:r>
        <w:rPr>
          <w:rFonts w:hint="eastAsia" w:ascii="Times New Roman" w:hAnsi="Times New Roman" w:eastAsia="楷体" w:cs="楷体"/>
          <w:sz w:val="22"/>
          <w:szCs w:val="22"/>
          <w:lang w:val="en-US" w:eastAsia="zh-CN"/>
        </w:rPr>
        <w:t>的</w:t>
      </w:r>
      <w:r>
        <w:rPr>
          <w:rFonts w:ascii="Times New Roman" w:hAnsi="Times New Roman" w:eastAsia="楷体" w:cs="楷体"/>
          <w:sz w:val="22"/>
          <w:szCs w:val="22"/>
          <w:lang w:eastAsia="zh-CN"/>
        </w:rPr>
        <w:t>RMSE、MAE与R²进行衡量。</w:t>
      </w:r>
    </w:p>
    <w:p w14:paraId="459D97C2">
      <w:pPr>
        <w:spacing w:before="240" w:beforeAutospacing="0" w:after="240" w:afterAutospacing="0"/>
        <w:rPr>
          <w:rFonts w:ascii="Times New Roman" w:hAnsi="Times New Roman" w:eastAsia="楷体" w:cs="楷体"/>
          <w:sz w:val="22"/>
          <w:szCs w:val="22"/>
          <w:lang w:eastAsia="zh-CN"/>
        </w:rPr>
      </w:pPr>
      <w:r>
        <w:rPr>
          <w:rFonts w:ascii="Times New Roman" w:hAnsi="Times New Roman" w:eastAsia="楷体" w:cs="楷体"/>
          <w:b/>
          <w:bCs/>
          <w:sz w:val="22"/>
          <w:szCs w:val="22"/>
          <w:lang w:eastAsia="zh-CN"/>
        </w:rPr>
        <w:t>3. 描述性统计</w:t>
      </w:r>
      <w:r>
        <w:rPr>
          <w:rFonts w:ascii="Times New Roman" w:hAnsi="Times New Roman" w:eastAsia="楷体"/>
        </w:rPr>
        <w:br w:type="textWrapping"/>
      </w:r>
      <w:r>
        <w:rPr>
          <w:rFonts w:hint="eastAsia" w:ascii="Times New Roman" w:hAnsi="Times New Roman" w:eastAsia="楷体"/>
          <w:lang w:val="en-US" w:eastAsia="zh-CN"/>
        </w:rPr>
        <w:tab/>
      </w:r>
      <w:r>
        <w:rPr>
          <w:rFonts w:ascii="Times New Roman" w:hAnsi="Times New Roman" w:eastAsia="楷体" w:cs="楷体"/>
          <w:sz w:val="22"/>
          <w:szCs w:val="22"/>
          <w:lang w:eastAsia="zh-CN"/>
        </w:rPr>
        <w:t>表1报告了目标变量及主要解释变量的描述性统计结果。</w:t>
      </w:r>
      <w:r>
        <w:rPr>
          <w:rFonts w:hint="eastAsia" w:ascii="Times New Roman" w:hAnsi="Times New Roman" w:eastAsia="楷体" w:cs="楷体"/>
          <w:sz w:val="22"/>
          <w:szCs w:val="22"/>
          <w:lang w:val="en-US" w:eastAsia="zh-CN"/>
        </w:rPr>
        <w:t>其中，USD_index所代表的前五个变量为汇率变量，GOLD与WTI代表大宗商品变量、US_10Y等代表各国十年期国债利率、US_index等代表各国市场收益率</w:t>
      </w:r>
      <w:r>
        <w:rPr>
          <w:rFonts w:ascii="Times New Roman" w:hAnsi="Times New Roman" w:eastAsia="楷体" w:cs="楷体"/>
          <w:sz w:val="22"/>
          <w:szCs w:val="22"/>
          <w:lang w:eastAsia="zh-CN"/>
        </w:rPr>
        <w:t>。</w:t>
      </w:r>
    </w:p>
    <w:p w14:paraId="0FA9492B">
      <w:pPr>
        <w:keepNext w:val="0"/>
        <w:keepLines w:val="0"/>
        <w:pageBreakBefore w:val="0"/>
        <w:widowControl w:val="0"/>
        <w:kinsoku/>
        <w:wordWrap/>
        <w:overflowPunct/>
        <w:topLinePunct w:val="0"/>
        <w:autoSpaceDE/>
        <w:autoSpaceDN/>
        <w:bidi w:val="0"/>
        <w:adjustRightInd/>
        <w:snapToGrid/>
        <w:spacing w:beforeAutospacing="0" w:after="0" w:afterAutospacing="0" w:line="279" w:lineRule="auto"/>
        <w:jc w:val="center"/>
        <w:textAlignment w:val="auto"/>
        <w:rPr>
          <w:rFonts w:hint="default" w:ascii="Times New Roman" w:hAnsi="Times New Roman" w:eastAsia="楷体" w:cs="楷体"/>
          <w:sz w:val="22"/>
          <w:szCs w:val="22"/>
          <w:lang w:val="en-US" w:eastAsia="zh-CN"/>
        </w:rPr>
      </w:pPr>
      <w:r>
        <w:rPr>
          <w:rFonts w:hint="eastAsia" w:ascii="Times New Roman" w:hAnsi="Times New Roman" w:eastAsia="楷体" w:cs="楷体"/>
          <w:sz w:val="22"/>
          <w:szCs w:val="22"/>
          <w:lang w:val="en-US" w:eastAsia="zh-CN"/>
        </w:rPr>
        <w:t xml:space="preserve">表1 </w:t>
      </w:r>
      <w:r>
        <w:rPr>
          <w:rFonts w:ascii="Times New Roman" w:hAnsi="Times New Roman" w:eastAsia="楷体" w:cs="楷体"/>
          <w:sz w:val="22"/>
          <w:szCs w:val="22"/>
          <w:lang w:eastAsia="zh-CN"/>
        </w:rPr>
        <w:t>目标变量及主要解释变量的描述性统计</w:t>
      </w:r>
    </w:p>
    <w:tbl>
      <w:tblPr>
        <w:tblStyle w:val="15"/>
        <w:tblW w:w="914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32" w:type="dxa"/>
          <w:left w:w="64" w:type="dxa"/>
          <w:bottom w:w="32" w:type="dxa"/>
          <w:right w:w="64" w:type="dxa"/>
        </w:tblCellMar>
      </w:tblPr>
      <w:tblGrid>
        <w:gridCol w:w="1971"/>
        <w:gridCol w:w="714"/>
        <w:gridCol w:w="758"/>
        <w:gridCol w:w="912"/>
        <w:gridCol w:w="1105"/>
        <w:gridCol w:w="989"/>
        <w:gridCol w:w="758"/>
        <w:gridCol w:w="913"/>
        <w:gridCol w:w="1029"/>
      </w:tblGrid>
      <w:tr w14:paraId="5BE82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283" w:hRule="atLeast"/>
          <w:tblHeader/>
          <w:jc w:val="center"/>
        </w:trPr>
        <w:tc>
          <w:tcPr>
            <w:tcW w:w="1971" w:type="dxa"/>
            <w:tcBorders>
              <w:top w:val="single" w:color="auto" w:sz="12" w:space="0"/>
              <w:left w:val="nil"/>
              <w:bottom w:val="single" w:color="auto" w:sz="4" w:space="0"/>
              <w:right w:val="nil"/>
            </w:tcBorders>
            <w:shd w:val="clear" w:color="auto" w:fill="auto"/>
            <w:noWrap/>
            <w:vAlign w:val="center"/>
          </w:tcPr>
          <w:p w14:paraId="7A2D0EC8">
            <w:pPr>
              <w:snapToGrid w:val="0"/>
              <w:jc w:val="center"/>
              <w:rPr>
                <w:rFonts w:hint="eastAsia" w:ascii="Times New Roman" w:hAnsi="Times New Roman" w:eastAsia="楷体" w:cs="宋体"/>
                <w:b/>
                <w:i w:val="0"/>
                <w:iCs w:val="0"/>
                <w:color w:val="000000"/>
                <w:sz w:val="18"/>
                <w:szCs w:val="18"/>
                <w:u w:val="none"/>
                <w:lang w:eastAsia="zh-CN"/>
              </w:rPr>
            </w:pPr>
          </w:p>
        </w:tc>
        <w:tc>
          <w:tcPr>
            <w:tcW w:w="714" w:type="dxa"/>
            <w:tcBorders>
              <w:top w:val="single" w:color="auto" w:sz="12" w:space="0"/>
              <w:left w:val="nil"/>
              <w:bottom w:val="single" w:color="auto" w:sz="4" w:space="0"/>
              <w:right w:val="nil"/>
            </w:tcBorders>
            <w:shd w:val="clear" w:color="auto" w:fill="auto"/>
            <w:noWrap/>
            <w:vAlign w:val="center"/>
          </w:tcPr>
          <w:p w14:paraId="426D1156">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top"/>
              <w:rPr>
                <w:rFonts w:hint="eastAsia" w:ascii="Times New Roman" w:hAnsi="Times New Roman" w:eastAsia="楷体" w:cs="宋体"/>
                <w:b/>
                <w:bCs/>
                <w:i w:val="0"/>
                <w:iCs w:val="0"/>
                <w:color w:val="000000"/>
                <w:sz w:val="18"/>
                <w:szCs w:val="18"/>
                <w:u w:val="none"/>
              </w:rPr>
            </w:pPr>
            <w:r>
              <w:rPr>
                <w:rFonts w:hint="eastAsia" w:ascii="Times New Roman" w:hAnsi="Times New Roman" w:eastAsia="楷体" w:cs="宋体"/>
                <w:b/>
                <w:bCs/>
                <w:i w:val="0"/>
                <w:iCs w:val="0"/>
                <w:color w:val="000000"/>
                <w:kern w:val="0"/>
                <w:sz w:val="18"/>
                <w:szCs w:val="18"/>
                <w:u w:val="none"/>
                <w:lang w:val="en-US" w:eastAsia="zh-CN" w:bidi="ar"/>
              </w:rPr>
              <w:t>count</w:t>
            </w:r>
          </w:p>
        </w:tc>
        <w:tc>
          <w:tcPr>
            <w:tcW w:w="758" w:type="dxa"/>
            <w:tcBorders>
              <w:top w:val="single" w:color="auto" w:sz="12" w:space="0"/>
              <w:left w:val="nil"/>
              <w:bottom w:val="single" w:color="auto" w:sz="4" w:space="0"/>
              <w:right w:val="nil"/>
            </w:tcBorders>
            <w:shd w:val="clear" w:color="auto" w:fill="auto"/>
            <w:noWrap/>
            <w:vAlign w:val="center"/>
          </w:tcPr>
          <w:p w14:paraId="4426E73C">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top"/>
              <w:rPr>
                <w:rFonts w:hint="eastAsia" w:ascii="Times New Roman" w:hAnsi="Times New Roman" w:eastAsia="楷体" w:cs="宋体"/>
                <w:b/>
                <w:bCs/>
                <w:i w:val="0"/>
                <w:iCs w:val="0"/>
                <w:color w:val="000000"/>
                <w:sz w:val="18"/>
                <w:szCs w:val="18"/>
                <w:u w:val="none"/>
              </w:rPr>
            </w:pPr>
            <w:r>
              <w:rPr>
                <w:rFonts w:hint="eastAsia" w:ascii="Times New Roman" w:hAnsi="Times New Roman" w:eastAsia="楷体" w:cs="宋体"/>
                <w:b/>
                <w:bCs/>
                <w:i w:val="0"/>
                <w:iCs w:val="0"/>
                <w:color w:val="000000"/>
                <w:kern w:val="0"/>
                <w:sz w:val="18"/>
                <w:szCs w:val="18"/>
                <w:u w:val="none"/>
                <w:lang w:val="en-US" w:eastAsia="zh-CN" w:bidi="ar"/>
              </w:rPr>
              <w:t>mean</w:t>
            </w:r>
          </w:p>
        </w:tc>
        <w:tc>
          <w:tcPr>
            <w:tcW w:w="912" w:type="dxa"/>
            <w:tcBorders>
              <w:top w:val="single" w:color="auto" w:sz="12" w:space="0"/>
              <w:left w:val="nil"/>
              <w:bottom w:val="single" w:color="auto" w:sz="4" w:space="0"/>
              <w:right w:val="nil"/>
            </w:tcBorders>
            <w:shd w:val="clear" w:color="auto" w:fill="auto"/>
            <w:noWrap/>
            <w:vAlign w:val="center"/>
          </w:tcPr>
          <w:p w14:paraId="4FCBB744">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top"/>
              <w:rPr>
                <w:rFonts w:hint="eastAsia" w:ascii="Times New Roman" w:hAnsi="Times New Roman" w:eastAsia="楷体" w:cs="宋体"/>
                <w:b/>
                <w:bCs/>
                <w:i w:val="0"/>
                <w:iCs w:val="0"/>
                <w:color w:val="000000"/>
                <w:sz w:val="18"/>
                <w:szCs w:val="18"/>
                <w:u w:val="none"/>
              </w:rPr>
            </w:pPr>
            <w:r>
              <w:rPr>
                <w:rFonts w:hint="eastAsia" w:ascii="Times New Roman" w:hAnsi="Times New Roman" w:eastAsia="楷体" w:cs="宋体"/>
                <w:b/>
                <w:bCs/>
                <w:i w:val="0"/>
                <w:iCs w:val="0"/>
                <w:color w:val="000000"/>
                <w:kern w:val="0"/>
                <w:sz w:val="18"/>
                <w:szCs w:val="18"/>
                <w:u w:val="none"/>
                <w:lang w:val="en-US" w:eastAsia="zh-CN" w:bidi="ar"/>
              </w:rPr>
              <w:t>std</w:t>
            </w:r>
          </w:p>
        </w:tc>
        <w:tc>
          <w:tcPr>
            <w:tcW w:w="1105" w:type="dxa"/>
            <w:tcBorders>
              <w:top w:val="single" w:color="auto" w:sz="12" w:space="0"/>
              <w:left w:val="nil"/>
              <w:bottom w:val="single" w:color="auto" w:sz="4" w:space="0"/>
              <w:right w:val="nil"/>
            </w:tcBorders>
            <w:shd w:val="clear" w:color="auto" w:fill="auto"/>
            <w:noWrap/>
            <w:vAlign w:val="center"/>
          </w:tcPr>
          <w:p w14:paraId="2B5DB13E">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top"/>
              <w:rPr>
                <w:rFonts w:hint="eastAsia" w:ascii="Times New Roman" w:hAnsi="Times New Roman" w:eastAsia="楷体" w:cs="宋体"/>
                <w:b/>
                <w:bCs/>
                <w:i w:val="0"/>
                <w:iCs w:val="0"/>
                <w:color w:val="000000"/>
                <w:sz w:val="18"/>
                <w:szCs w:val="18"/>
                <w:u w:val="none"/>
              </w:rPr>
            </w:pPr>
            <w:r>
              <w:rPr>
                <w:rFonts w:hint="eastAsia" w:ascii="Times New Roman" w:hAnsi="Times New Roman" w:eastAsia="楷体" w:cs="宋体"/>
                <w:b/>
                <w:bCs/>
                <w:i w:val="0"/>
                <w:iCs w:val="0"/>
                <w:color w:val="000000"/>
                <w:kern w:val="0"/>
                <w:sz w:val="18"/>
                <w:szCs w:val="18"/>
                <w:u w:val="none"/>
                <w:lang w:val="en-US" w:eastAsia="zh-CN" w:bidi="ar"/>
              </w:rPr>
              <w:t>min</w:t>
            </w:r>
          </w:p>
        </w:tc>
        <w:tc>
          <w:tcPr>
            <w:tcW w:w="989" w:type="dxa"/>
            <w:tcBorders>
              <w:top w:val="single" w:color="auto" w:sz="12" w:space="0"/>
              <w:left w:val="nil"/>
              <w:bottom w:val="single" w:color="auto" w:sz="4" w:space="0"/>
              <w:right w:val="nil"/>
            </w:tcBorders>
            <w:shd w:val="clear" w:color="auto" w:fill="auto"/>
            <w:noWrap/>
            <w:vAlign w:val="center"/>
          </w:tcPr>
          <w:p w14:paraId="485E8BC9">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top"/>
              <w:rPr>
                <w:rFonts w:hint="eastAsia" w:ascii="Times New Roman" w:hAnsi="Times New Roman" w:eastAsia="楷体" w:cs="宋体"/>
                <w:b/>
                <w:bCs/>
                <w:i w:val="0"/>
                <w:iCs w:val="0"/>
                <w:color w:val="000000"/>
                <w:sz w:val="18"/>
                <w:szCs w:val="18"/>
                <w:u w:val="none"/>
              </w:rPr>
            </w:pPr>
            <w:r>
              <w:rPr>
                <w:rFonts w:hint="eastAsia" w:ascii="Times New Roman" w:hAnsi="Times New Roman" w:eastAsia="楷体" w:cs="宋体"/>
                <w:b/>
                <w:bCs/>
                <w:i w:val="0"/>
                <w:iCs w:val="0"/>
                <w:color w:val="000000"/>
                <w:kern w:val="0"/>
                <w:sz w:val="18"/>
                <w:szCs w:val="18"/>
                <w:u w:val="none"/>
                <w:lang w:val="en-US" w:eastAsia="zh-CN" w:bidi="ar"/>
              </w:rPr>
              <w:t>25%</w:t>
            </w:r>
          </w:p>
        </w:tc>
        <w:tc>
          <w:tcPr>
            <w:tcW w:w="758" w:type="dxa"/>
            <w:tcBorders>
              <w:top w:val="single" w:color="auto" w:sz="12" w:space="0"/>
              <w:left w:val="nil"/>
              <w:bottom w:val="single" w:color="auto" w:sz="4" w:space="0"/>
              <w:right w:val="nil"/>
            </w:tcBorders>
            <w:shd w:val="clear" w:color="auto" w:fill="auto"/>
            <w:noWrap/>
            <w:vAlign w:val="center"/>
          </w:tcPr>
          <w:p w14:paraId="7C3E8E2A">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top"/>
              <w:rPr>
                <w:rFonts w:hint="eastAsia" w:ascii="Times New Roman" w:hAnsi="Times New Roman" w:eastAsia="楷体" w:cs="宋体"/>
                <w:b/>
                <w:bCs/>
                <w:i w:val="0"/>
                <w:iCs w:val="0"/>
                <w:color w:val="000000"/>
                <w:sz w:val="18"/>
                <w:szCs w:val="18"/>
                <w:u w:val="none"/>
              </w:rPr>
            </w:pPr>
            <w:r>
              <w:rPr>
                <w:rFonts w:hint="eastAsia" w:ascii="Times New Roman" w:hAnsi="Times New Roman" w:eastAsia="楷体" w:cs="宋体"/>
                <w:b/>
                <w:bCs/>
                <w:i w:val="0"/>
                <w:iCs w:val="0"/>
                <w:color w:val="000000"/>
                <w:kern w:val="0"/>
                <w:sz w:val="18"/>
                <w:szCs w:val="18"/>
                <w:u w:val="none"/>
                <w:lang w:val="en-US" w:eastAsia="zh-CN" w:bidi="ar"/>
              </w:rPr>
              <w:t>50%</w:t>
            </w:r>
          </w:p>
        </w:tc>
        <w:tc>
          <w:tcPr>
            <w:tcW w:w="913" w:type="dxa"/>
            <w:tcBorders>
              <w:top w:val="single" w:color="auto" w:sz="12" w:space="0"/>
              <w:left w:val="nil"/>
              <w:bottom w:val="single" w:color="auto" w:sz="4" w:space="0"/>
              <w:right w:val="nil"/>
            </w:tcBorders>
            <w:shd w:val="clear" w:color="auto" w:fill="auto"/>
            <w:noWrap/>
            <w:vAlign w:val="center"/>
          </w:tcPr>
          <w:p w14:paraId="50DADA1D">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top"/>
              <w:rPr>
                <w:rFonts w:hint="eastAsia" w:ascii="Times New Roman" w:hAnsi="Times New Roman" w:eastAsia="楷体" w:cs="宋体"/>
                <w:b/>
                <w:bCs/>
                <w:i w:val="0"/>
                <w:iCs w:val="0"/>
                <w:color w:val="000000"/>
                <w:sz w:val="18"/>
                <w:szCs w:val="18"/>
                <w:u w:val="none"/>
              </w:rPr>
            </w:pPr>
            <w:r>
              <w:rPr>
                <w:rFonts w:hint="eastAsia" w:ascii="Times New Roman" w:hAnsi="Times New Roman" w:eastAsia="楷体" w:cs="宋体"/>
                <w:b/>
                <w:bCs/>
                <w:i w:val="0"/>
                <w:iCs w:val="0"/>
                <w:color w:val="000000"/>
                <w:kern w:val="0"/>
                <w:sz w:val="18"/>
                <w:szCs w:val="18"/>
                <w:u w:val="none"/>
                <w:lang w:val="en-US" w:eastAsia="zh-CN" w:bidi="ar"/>
              </w:rPr>
              <w:t>75%</w:t>
            </w:r>
          </w:p>
        </w:tc>
        <w:tc>
          <w:tcPr>
            <w:tcW w:w="1029" w:type="dxa"/>
            <w:tcBorders>
              <w:top w:val="single" w:color="auto" w:sz="12" w:space="0"/>
              <w:left w:val="nil"/>
              <w:bottom w:val="single" w:color="auto" w:sz="4" w:space="0"/>
              <w:right w:val="nil"/>
            </w:tcBorders>
            <w:shd w:val="clear" w:color="auto" w:fill="auto"/>
            <w:noWrap/>
            <w:vAlign w:val="center"/>
          </w:tcPr>
          <w:p w14:paraId="3686D8DD">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top"/>
              <w:rPr>
                <w:rFonts w:hint="eastAsia" w:ascii="Times New Roman" w:hAnsi="Times New Roman" w:eastAsia="楷体" w:cs="宋体"/>
                <w:b/>
                <w:bCs/>
                <w:i w:val="0"/>
                <w:iCs w:val="0"/>
                <w:color w:val="000000"/>
                <w:sz w:val="18"/>
                <w:szCs w:val="18"/>
                <w:u w:val="none"/>
              </w:rPr>
            </w:pPr>
            <w:r>
              <w:rPr>
                <w:rFonts w:hint="eastAsia" w:ascii="Times New Roman" w:hAnsi="Times New Roman" w:eastAsia="楷体" w:cs="宋体"/>
                <w:b/>
                <w:bCs/>
                <w:i w:val="0"/>
                <w:iCs w:val="0"/>
                <w:color w:val="000000"/>
                <w:kern w:val="0"/>
                <w:sz w:val="18"/>
                <w:szCs w:val="18"/>
                <w:u w:val="none"/>
                <w:lang w:val="en-US" w:eastAsia="zh-CN" w:bidi="ar"/>
              </w:rPr>
              <w:t>max</w:t>
            </w:r>
          </w:p>
        </w:tc>
      </w:tr>
      <w:tr w14:paraId="2C0AE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single" w:color="auto" w:sz="4" w:space="0"/>
              <w:left w:val="nil"/>
              <w:bottom w:val="nil"/>
              <w:right w:val="nil"/>
            </w:tcBorders>
            <w:shd w:val="clear" w:color="auto" w:fill="auto"/>
            <w:noWrap/>
            <w:vAlign w:val="center"/>
          </w:tcPr>
          <w:p w14:paraId="14FF6179">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USD_index_Close</w:t>
            </w:r>
          </w:p>
        </w:tc>
        <w:tc>
          <w:tcPr>
            <w:tcW w:w="714" w:type="dxa"/>
            <w:tcBorders>
              <w:top w:val="single" w:color="auto" w:sz="4" w:space="0"/>
              <w:left w:val="nil"/>
              <w:bottom w:val="nil"/>
              <w:right w:val="nil"/>
            </w:tcBorders>
            <w:shd w:val="clear" w:color="auto" w:fill="auto"/>
            <w:noWrap/>
            <w:vAlign w:val="center"/>
          </w:tcPr>
          <w:p w14:paraId="7262A11B">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single" w:color="auto" w:sz="4" w:space="0"/>
              <w:left w:val="nil"/>
              <w:bottom w:val="nil"/>
              <w:right w:val="nil"/>
            </w:tcBorders>
            <w:shd w:val="clear" w:color="auto" w:fill="auto"/>
            <w:noWrap/>
            <w:vAlign w:val="center"/>
          </w:tcPr>
          <w:p w14:paraId="4E09F237">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-2.90</w:t>
            </w:r>
          </w:p>
        </w:tc>
        <w:tc>
          <w:tcPr>
            <w:tcW w:w="912" w:type="dxa"/>
            <w:tcBorders>
              <w:top w:val="single" w:color="auto" w:sz="4" w:space="0"/>
              <w:left w:val="nil"/>
              <w:bottom w:val="nil"/>
              <w:right w:val="nil"/>
            </w:tcBorders>
            <w:shd w:val="clear" w:color="auto" w:fill="auto"/>
            <w:noWrap/>
            <w:vAlign w:val="center"/>
          </w:tcPr>
          <w:p w14:paraId="0FA26506">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485.44</w:t>
            </w:r>
          </w:p>
        </w:tc>
        <w:tc>
          <w:tcPr>
            <w:tcW w:w="1105" w:type="dxa"/>
            <w:tcBorders>
              <w:top w:val="single" w:color="auto" w:sz="4" w:space="0"/>
              <w:left w:val="nil"/>
              <w:bottom w:val="nil"/>
              <w:right w:val="nil"/>
            </w:tcBorders>
            <w:shd w:val="clear" w:color="auto" w:fill="auto"/>
            <w:noWrap/>
            <w:vAlign w:val="center"/>
          </w:tcPr>
          <w:p w14:paraId="10B6CB4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-3064.57</w:t>
            </w:r>
          </w:p>
        </w:tc>
        <w:tc>
          <w:tcPr>
            <w:tcW w:w="989" w:type="dxa"/>
            <w:tcBorders>
              <w:top w:val="single" w:color="auto" w:sz="4" w:space="0"/>
              <w:left w:val="nil"/>
              <w:bottom w:val="nil"/>
              <w:right w:val="nil"/>
            </w:tcBorders>
            <w:shd w:val="clear" w:color="auto" w:fill="auto"/>
            <w:noWrap/>
            <w:vAlign w:val="center"/>
          </w:tcPr>
          <w:p w14:paraId="7E99BBE4">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-280.57</w:t>
            </w:r>
          </w:p>
        </w:tc>
        <w:tc>
          <w:tcPr>
            <w:tcW w:w="758" w:type="dxa"/>
            <w:tcBorders>
              <w:top w:val="single" w:color="auto" w:sz="4" w:space="0"/>
              <w:left w:val="nil"/>
              <w:bottom w:val="nil"/>
              <w:right w:val="nil"/>
            </w:tcBorders>
            <w:shd w:val="clear" w:color="auto" w:fill="auto"/>
            <w:noWrap/>
            <w:vAlign w:val="center"/>
          </w:tcPr>
          <w:p w14:paraId="7C64FC0A">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0.00</w:t>
            </w:r>
          </w:p>
        </w:tc>
        <w:tc>
          <w:tcPr>
            <w:tcW w:w="913" w:type="dxa"/>
            <w:tcBorders>
              <w:top w:val="single" w:color="auto" w:sz="4" w:space="0"/>
              <w:left w:val="nil"/>
              <w:bottom w:val="nil"/>
              <w:right w:val="nil"/>
            </w:tcBorders>
            <w:shd w:val="clear" w:color="auto" w:fill="auto"/>
            <w:noWrap/>
            <w:vAlign w:val="center"/>
          </w:tcPr>
          <w:p w14:paraId="33348250">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273.44</w:t>
            </w:r>
          </w:p>
        </w:tc>
        <w:tc>
          <w:tcPr>
            <w:tcW w:w="1029" w:type="dxa"/>
            <w:tcBorders>
              <w:top w:val="single" w:color="auto" w:sz="4" w:space="0"/>
              <w:left w:val="nil"/>
              <w:bottom w:val="nil"/>
              <w:right w:val="nil"/>
            </w:tcBorders>
            <w:shd w:val="clear" w:color="auto" w:fill="auto"/>
            <w:noWrap/>
            <w:vAlign w:val="center"/>
          </w:tcPr>
          <w:p w14:paraId="30BC88CB">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2407.47</w:t>
            </w:r>
          </w:p>
        </w:tc>
      </w:tr>
      <w:tr w14:paraId="274C6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762BA961">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USD_EUR_Open</w:t>
            </w:r>
          </w:p>
        </w:tc>
        <w:tc>
          <w:tcPr>
            <w:tcW w:w="714" w:type="dxa"/>
            <w:tcBorders>
              <w:top w:val="nil"/>
              <w:left w:val="nil"/>
              <w:bottom w:val="nil"/>
              <w:right w:val="nil"/>
            </w:tcBorders>
            <w:shd w:val="clear" w:color="auto" w:fill="auto"/>
            <w:noWrap/>
            <w:vAlign w:val="center"/>
          </w:tcPr>
          <w:p w14:paraId="7FD944D0">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0E5CF893">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-6.43</w:t>
            </w:r>
          </w:p>
        </w:tc>
        <w:tc>
          <w:tcPr>
            <w:tcW w:w="912" w:type="dxa"/>
            <w:tcBorders>
              <w:top w:val="nil"/>
              <w:left w:val="nil"/>
              <w:bottom w:val="nil"/>
              <w:right w:val="nil"/>
            </w:tcBorders>
            <w:shd w:val="clear" w:color="auto" w:fill="auto"/>
            <w:noWrap/>
            <w:vAlign w:val="center"/>
          </w:tcPr>
          <w:p w14:paraId="24D49693">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583.52</w:t>
            </w:r>
          </w:p>
        </w:tc>
        <w:tc>
          <w:tcPr>
            <w:tcW w:w="1105" w:type="dxa"/>
            <w:tcBorders>
              <w:top w:val="nil"/>
              <w:left w:val="nil"/>
              <w:bottom w:val="nil"/>
              <w:right w:val="nil"/>
            </w:tcBorders>
            <w:shd w:val="clear" w:color="auto" w:fill="auto"/>
            <w:noWrap/>
            <w:vAlign w:val="center"/>
          </w:tcPr>
          <w:p w14:paraId="3284C1E0">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-3631.46</w:t>
            </w:r>
          </w:p>
        </w:tc>
        <w:tc>
          <w:tcPr>
            <w:tcW w:w="989" w:type="dxa"/>
            <w:tcBorders>
              <w:top w:val="nil"/>
              <w:left w:val="nil"/>
              <w:bottom w:val="nil"/>
              <w:right w:val="nil"/>
            </w:tcBorders>
            <w:shd w:val="clear" w:color="auto" w:fill="auto"/>
            <w:noWrap/>
            <w:vAlign w:val="center"/>
          </w:tcPr>
          <w:p w14:paraId="583FA41A">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-334.00</w:t>
            </w:r>
          </w:p>
        </w:tc>
        <w:tc>
          <w:tcPr>
            <w:tcW w:w="758" w:type="dxa"/>
            <w:tcBorders>
              <w:top w:val="nil"/>
              <w:left w:val="nil"/>
              <w:bottom w:val="nil"/>
              <w:right w:val="nil"/>
            </w:tcBorders>
            <w:shd w:val="clear" w:color="auto" w:fill="auto"/>
            <w:noWrap/>
            <w:vAlign w:val="center"/>
          </w:tcPr>
          <w:p w14:paraId="6AF2CF14">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0.00</w:t>
            </w:r>
          </w:p>
        </w:tc>
        <w:tc>
          <w:tcPr>
            <w:tcW w:w="913" w:type="dxa"/>
            <w:tcBorders>
              <w:top w:val="nil"/>
              <w:left w:val="nil"/>
              <w:bottom w:val="nil"/>
              <w:right w:val="nil"/>
            </w:tcBorders>
            <w:shd w:val="clear" w:color="auto" w:fill="auto"/>
            <w:noWrap/>
            <w:vAlign w:val="center"/>
          </w:tcPr>
          <w:p w14:paraId="2BBA3CE9">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306.00</w:t>
            </w:r>
          </w:p>
        </w:tc>
        <w:tc>
          <w:tcPr>
            <w:tcW w:w="1029" w:type="dxa"/>
            <w:tcBorders>
              <w:top w:val="nil"/>
              <w:left w:val="nil"/>
              <w:bottom w:val="nil"/>
              <w:right w:val="nil"/>
            </w:tcBorders>
            <w:shd w:val="clear" w:color="auto" w:fill="auto"/>
            <w:noWrap/>
            <w:vAlign w:val="center"/>
          </w:tcPr>
          <w:p w14:paraId="07398DDA">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3137.21</w:t>
            </w:r>
          </w:p>
        </w:tc>
      </w:tr>
      <w:tr w14:paraId="2062F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379A038E">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USD_JPY_Open</w:t>
            </w:r>
          </w:p>
        </w:tc>
        <w:tc>
          <w:tcPr>
            <w:tcW w:w="714" w:type="dxa"/>
            <w:tcBorders>
              <w:top w:val="nil"/>
              <w:left w:val="nil"/>
              <w:bottom w:val="nil"/>
              <w:right w:val="nil"/>
            </w:tcBorders>
            <w:shd w:val="clear" w:color="auto" w:fill="auto"/>
            <w:noWrap/>
            <w:vAlign w:val="center"/>
          </w:tcPr>
          <w:p w14:paraId="6142BFBE">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2946CDC6">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2.19</w:t>
            </w:r>
          </w:p>
        </w:tc>
        <w:tc>
          <w:tcPr>
            <w:tcW w:w="912" w:type="dxa"/>
            <w:tcBorders>
              <w:top w:val="nil"/>
              <w:left w:val="nil"/>
              <w:bottom w:val="nil"/>
              <w:right w:val="nil"/>
            </w:tcBorders>
            <w:shd w:val="clear" w:color="auto" w:fill="auto"/>
            <w:noWrap/>
            <w:vAlign w:val="center"/>
          </w:tcPr>
          <w:p w14:paraId="583B9AEE">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552.31</w:t>
            </w:r>
          </w:p>
        </w:tc>
        <w:tc>
          <w:tcPr>
            <w:tcW w:w="1105" w:type="dxa"/>
            <w:tcBorders>
              <w:top w:val="nil"/>
              <w:left w:val="nil"/>
              <w:bottom w:val="nil"/>
              <w:right w:val="nil"/>
            </w:tcBorders>
            <w:shd w:val="clear" w:color="auto" w:fill="auto"/>
            <w:noWrap/>
            <w:vAlign w:val="center"/>
          </w:tcPr>
          <w:p w14:paraId="2E5AD708">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-3889.67</w:t>
            </w:r>
          </w:p>
        </w:tc>
        <w:tc>
          <w:tcPr>
            <w:tcW w:w="989" w:type="dxa"/>
            <w:tcBorders>
              <w:top w:val="nil"/>
              <w:left w:val="nil"/>
              <w:bottom w:val="nil"/>
              <w:right w:val="nil"/>
            </w:tcBorders>
            <w:shd w:val="clear" w:color="auto" w:fill="auto"/>
            <w:noWrap/>
            <w:vAlign w:val="center"/>
          </w:tcPr>
          <w:p w14:paraId="02DAC1D6">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-276.97</w:t>
            </w:r>
          </w:p>
        </w:tc>
        <w:tc>
          <w:tcPr>
            <w:tcW w:w="758" w:type="dxa"/>
            <w:tcBorders>
              <w:top w:val="nil"/>
              <w:left w:val="nil"/>
              <w:bottom w:val="nil"/>
              <w:right w:val="nil"/>
            </w:tcBorders>
            <w:shd w:val="clear" w:color="auto" w:fill="auto"/>
            <w:noWrap/>
            <w:vAlign w:val="center"/>
          </w:tcPr>
          <w:p w14:paraId="6570E8A2">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9.14</w:t>
            </w:r>
          </w:p>
        </w:tc>
        <w:tc>
          <w:tcPr>
            <w:tcW w:w="913" w:type="dxa"/>
            <w:tcBorders>
              <w:top w:val="nil"/>
              <w:left w:val="nil"/>
              <w:bottom w:val="nil"/>
              <w:right w:val="nil"/>
            </w:tcBorders>
            <w:shd w:val="clear" w:color="auto" w:fill="auto"/>
            <w:noWrap/>
            <w:vAlign w:val="center"/>
          </w:tcPr>
          <w:p w14:paraId="73CFB4E0">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301.93</w:t>
            </w:r>
          </w:p>
        </w:tc>
        <w:tc>
          <w:tcPr>
            <w:tcW w:w="1029" w:type="dxa"/>
            <w:tcBorders>
              <w:top w:val="nil"/>
              <w:left w:val="nil"/>
              <w:bottom w:val="nil"/>
              <w:right w:val="nil"/>
            </w:tcBorders>
            <w:shd w:val="clear" w:color="auto" w:fill="auto"/>
            <w:noWrap/>
            <w:vAlign w:val="center"/>
          </w:tcPr>
          <w:p w14:paraId="11C1A015">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3433.27</w:t>
            </w:r>
          </w:p>
        </w:tc>
      </w:tr>
      <w:tr w14:paraId="764C9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473A89BC">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USD_GBP_Open</w:t>
            </w:r>
          </w:p>
        </w:tc>
        <w:tc>
          <w:tcPr>
            <w:tcW w:w="714" w:type="dxa"/>
            <w:tcBorders>
              <w:top w:val="nil"/>
              <w:left w:val="nil"/>
              <w:bottom w:val="nil"/>
              <w:right w:val="nil"/>
            </w:tcBorders>
            <w:shd w:val="clear" w:color="auto" w:fill="auto"/>
            <w:noWrap/>
            <w:vAlign w:val="center"/>
          </w:tcPr>
          <w:p w14:paraId="7711D70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53B50721">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-7.42</w:t>
            </w:r>
          </w:p>
        </w:tc>
        <w:tc>
          <w:tcPr>
            <w:tcW w:w="912" w:type="dxa"/>
            <w:tcBorders>
              <w:top w:val="nil"/>
              <w:left w:val="nil"/>
              <w:bottom w:val="nil"/>
              <w:right w:val="nil"/>
            </w:tcBorders>
            <w:shd w:val="clear" w:color="auto" w:fill="auto"/>
            <w:noWrap/>
            <w:vAlign w:val="center"/>
          </w:tcPr>
          <w:p w14:paraId="7F06122B">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607.79</w:t>
            </w:r>
          </w:p>
        </w:tc>
        <w:tc>
          <w:tcPr>
            <w:tcW w:w="1105" w:type="dxa"/>
            <w:tcBorders>
              <w:top w:val="nil"/>
              <w:left w:val="nil"/>
              <w:bottom w:val="nil"/>
              <w:right w:val="nil"/>
            </w:tcBorders>
            <w:shd w:val="clear" w:color="auto" w:fill="auto"/>
            <w:noWrap/>
            <w:vAlign w:val="center"/>
          </w:tcPr>
          <w:p w14:paraId="4D9570C2">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-2983.84</w:t>
            </w:r>
          </w:p>
        </w:tc>
        <w:tc>
          <w:tcPr>
            <w:tcW w:w="989" w:type="dxa"/>
            <w:tcBorders>
              <w:top w:val="nil"/>
              <w:left w:val="nil"/>
              <w:bottom w:val="nil"/>
              <w:right w:val="nil"/>
            </w:tcBorders>
            <w:shd w:val="clear" w:color="auto" w:fill="auto"/>
            <w:noWrap/>
            <w:vAlign w:val="center"/>
          </w:tcPr>
          <w:p w14:paraId="33B51FD2">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-337.93</w:t>
            </w:r>
          </w:p>
        </w:tc>
        <w:tc>
          <w:tcPr>
            <w:tcW w:w="758" w:type="dxa"/>
            <w:tcBorders>
              <w:top w:val="nil"/>
              <w:left w:val="nil"/>
              <w:bottom w:val="nil"/>
              <w:right w:val="nil"/>
            </w:tcBorders>
            <w:shd w:val="clear" w:color="auto" w:fill="auto"/>
            <w:noWrap/>
            <w:vAlign w:val="center"/>
          </w:tcPr>
          <w:p w14:paraId="77575EF0">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-15.70</w:t>
            </w:r>
          </w:p>
        </w:tc>
        <w:tc>
          <w:tcPr>
            <w:tcW w:w="913" w:type="dxa"/>
            <w:tcBorders>
              <w:top w:val="nil"/>
              <w:left w:val="nil"/>
              <w:bottom w:val="nil"/>
              <w:right w:val="nil"/>
            </w:tcBorders>
            <w:shd w:val="clear" w:color="auto" w:fill="auto"/>
            <w:noWrap/>
            <w:vAlign w:val="center"/>
          </w:tcPr>
          <w:p w14:paraId="3617B7A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316.89</w:t>
            </w:r>
          </w:p>
        </w:tc>
        <w:tc>
          <w:tcPr>
            <w:tcW w:w="1029" w:type="dxa"/>
            <w:tcBorders>
              <w:top w:val="nil"/>
              <w:left w:val="nil"/>
              <w:bottom w:val="nil"/>
              <w:right w:val="nil"/>
            </w:tcBorders>
            <w:shd w:val="clear" w:color="auto" w:fill="auto"/>
            <w:noWrap/>
            <w:vAlign w:val="center"/>
          </w:tcPr>
          <w:p w14:paraId="67EAC354">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9200.58</w:t>
            </w:r>
          </w:p>
        </w:tc>
      </w:tr>
      <w:tr w14:paraId="614AC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5EC1DF20">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USD_CNY_Open</w:t>
            </w:r>
          </w:p>
        </w:tc>
        <w:tc>
          <w:tcPr>
            <w:tcW w:w="714" w:type="dxa"/>
            <w:tcBorders>
              <w:top w:val="nil"/>
              <w:left w:val="nil"/>
              <w:bottom w:val="nil"/>
              <w:right w:val="nil"/>
            </w:tcBorders>
            <w:shd w:val="clear" w:color="auto" w:fill="auto"/>
            <w:noWrap/>
            <w:vAlign w:val="center"/>
          </w:tcPr>
          <w:p w14:paraId="7BF60B39">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698F2FE8">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-1.23</w:t>
            </w:r>
          </w:p>
        </w:tc>
        <w:tc>
          <w:tcPr>
            <w:tcW w:w="912" w:type="dxa"/>
            <w:tcBorders>
              <w:top w:val="nil"/>
              <w:left w:val="nil"/>
              <w:bottom w:val="nil"/>
              <w:right w:val="nil"/>
            </w:tcBorders>
            <w:shd w:val="clear" w:color="auto" w:fill="auto"/>
            <w:noWrap/>
            <w:vAlign w:val="center"/>
          </w:tcPr>
          <w:p w14:paraId="19007FB6">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197.64</w:t>
            </w:r>
          </w:p>
        </w:tc>
        <w:tc>
          <w:tcPr>
            <w:tcW w:w="1105" w:type="dxa"/>
            <w:tcBorders>
              <w:top w:val="nil"/>
              <w:left w:val="nil"/>
              <w:bottom w:val="nil"/>
              <w:right w:val="nil"/>
            </w:tcBorders>
            <w:shd w:val="clear" w:color="auto" w:fill="auto"/>
            <w:noWrap/>
            <w:vAlign w:val="center"/>
          </w:tcPr>
          <w:p w14:paraId="74A8EAA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-1589.15</w:t>
            </w:r>
          </w:p>
        </w:tc>
        <w:tc>
          <w:tcPr>
            <w:tcW w:w="989" w:type="dxa"/>
            <w:tcBorders>
              <w:top w:val="nil"/>
              <w:left w:val="nil"/>
              <w:bottom w:val="nil"/>
              <w:right w:val="nil"/>
            </w:tcBorders>
            <w:shd w:val="clear" w:color="auto" w:fill="auto"/>
            <w:noWrap/>
            <w:vAlign w:val="center"/>
          </w:tcPr>
          <w:p w14:paraId="16B6D858">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-74.12</w:t>
            </w:r>
          </w:p>
        </w:tc>
        <w:tc>
          <w:tcPr>
            <w:tcW w:w="758" w:type="dxa"/>
            <w:tcBorders>
              <w:top w:val="nil"/>
              <w:left w:val="nil"/>
              <w:bottom w:val="nil"/>
              <w:right w:val="nil"/>
            </w:tcBorders>
            <w:shd w:val="clear" w:color="auto" w:fill="auto"/>
            <w:noWrap/>
            <w:vAlign w:val="center"/>
          </w:tcPr>
          <w:p w14:paraId="2879767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-1.61</w:t>
            </w:r>
          </w:p>
        </w:tc>
        <w:tc>
          <w:tcPr>
            <w:tcW w:w="913" w:type="dxa"/>
            <w:tcBorders>
              <w:top w:val="nil"/>
              <w:left w:val="nil"/>
              <w:bottom w:val="nil"/>
              <w:right w:val="nil"/>
            </w:tcBorders>
            <w:shd w:val="clear" w:color="auto" w:fill="auto"/>
            <w:noWrap/>
            <w:vAlign w:val="center"/>
          </w:tcPr>
          <w:p w14:paraId="015421A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61.98</w:t>
            </w:r>
          </w:p>
        </w:tc>
        <w:tc>
          <w:tcPr>
            <w:tcW w:w="1029" w:type="dxa"/>
            <w:tcBorders>
              <w:top w:val="nil"/>
              <w:left w:val="nil"/>
              <w:bottom w:val="nil"/>
              <w:right w:val="nil"/>
            </w:tcBorders>
            <w:shd w:val="clear" w:color="auto" w:fill="auto"/>
            <w:noWrap/>
            <w:vAlign w:val="center"/>
          </w:tcPr>
          <w:p w14:paraId="6AC9C20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2444.78</w:t>
            </w:r>
          </w:p>
        </w:tc>
      </w:tr>
      <w:tr w14:paraId="2C834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3E120DF1">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GOLD_Open</w:t>
            </w:r>
          </w:p>
        </w:tc>
        <w:tc>
          <w:tcPr>
            <w:tcW w:w="714" w:type="dxa"/>
            <w:tcBorders>
              <w:top w:val="nil"/>
              <w:left w:val="nil"/>
              <w:bottom w:val="nil"/>
              <w:right w:val="nil"/>
            </w:tcBorders>
            <w:shd w:val="clear" w:color="auto" w:fill="auto"/>
            <w:noWrap/>
            <w:vAlign w:val="center"/>
          </w:tcPr>
          <w:p w14:paraId="1C636630">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0F2DC75F">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29.56</w:t>
            </w:r>
          </w:p>
        </w:tc>
        <w:tc>
          <w:tcPr>
            <w:tcW w:w="912" w:type="dxa"/>
            <w:tcBorders>
              <w:top w:val="nil"/>
              <w:left w:val="nil"/>
              <w:bottom w:val="nil"/>
              <w:right w:val="nil"/>
            </w:tcBorders>
            <w:shd w:val="clear" w:color="auto" w:fill="auto"/>
            <w:noWrap/>
            <w:vAlign w:val="center"/>
          </w:tcPr>
          <w:p w14:paraId="2E53B5B1">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1151.93</w:t>
            </w:r>
          </w:p>
        </w:tc>
        <w:tc>
          <w:tcPr>
            <w:tcW w:w="1105" w:type="dxa"/>
            <w:tcBorders>
              <w:top w:val="nil"/>
              <w:left w:val="nil"/>
              <w:bottom w:val="nil"/>
              <w:right w:val="nil"/>
            </w:tcBorders>
            <w:shd w:val="clear" w:color="auto" w:fill="auto"/>
            <w:noWrap/>
            <w:vAlign w:val="center"/>
          </w:tcPr>
          <w:p w14:paraId="2EE8FB71">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-9039.81</w:t>
            </w:r>
          </w:p>
        </w:tc>
        <w:tc>
          <w:tcPr>
            <w:tcW w:w="989" w:type="dxa"/>
            <w:tcBorders>
              <w:top w:val="nil"/>
              <w:left w:val="nil"/>
              <w:bottom w:val="nil"/>
              <w:right w:val="nil"/>
            </w:tcBorders>
            <w:shd w:val="clear" w:color="auto" w:fill="auto"/>
            <w:noWrap/>
            <w:vAlign w:val="center"/>
          </w:tcPr>
          <w:p w14:paraId="6C61F07A">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-521.50</w:t>
            </w:r>
          </w:p>
        </w:tc>
        <w:tc>
          <w:tcPr>
            <w:tcW w:w="758" w:type="dxa"/>
            <w:tcBorders>
              <w:top w:val="nil"/>
              <w:left w:val="nil"/>
              <w:bottom w:val="nil"/>
              <w:right w:val="nil"/>
            </w:tcBorders>
            <w:shd w:val="clear" w:color="auto" w:fill="auto"/>
            <w:noWrap/>
            <w:vAlign w:val="center"/>
          </w:tcPr>
          <w:p w14:paraId="535B7488">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57.58</w:t>
            </w:r>
          </w:p>
        </w:tc>
        <w:tc>
          <w:tcPr>
            <w:tcW w:w="913" w:type="dxa"/>
            <w:tcBorders>
              <w:top w:val="nil"/>
              <w:left w:val="nil"/>
              <w:bottom w:val="nil"/>
              <w:right w:val="nil"/>
            </w:tcBorders>
            <w:shd w:val="clear" w:color="auto" w:fill="auto"/>
            <w:noWrap/>
            <w:vAlign w:val="center"/>
          </w:tcPr>
          <w:p w14:paraId="1577B53F">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645.78</w:t>
            </w:r>
          </w:p>
        </w:tc>
        <w:tc>
          <w:tcPr>
            <w:tcW w:w="1029" w:type="dxa"/>
            <w:tcBorders>
              <w:top w:val="nil"/>
              <w:left w:val="nil"/>
              <w:bottom w:val="nil"/>
              <w:right w:val="nil"/>
            </w:tcBorders>
            <w:shd w:val="clear" w:color="auto" w:fill="auto"/>
            <w:noWrap/>
            <w:vAlign w:val="center"/>
          </w:tcPr>
          <w:p w14:paraId="5BE4ECAE">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10537.33</w:t>
            </w:r>
          </w:p>
        </w:tc>
      </w:tr>
      <w:tr w14:paraId="683EC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7ACEB659">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WTI_Open</w:t>
            </w:r>
          </w:p>
        </w:tc>
        <w:tc>
          <w:tcPr>
            <w:tcW w:w="714" w:type="dxa"/>
            <w:tcBorders>
              <w:top w:val="nil"/>
              <w:left w:val="nil"/>
              <w:bottom w:val="nil"/>
              <w:right w:val="nil"/>
            </w:tcBorders>
            <w:shd w:val="clear" w:color="auto" w:fill="auto"/>
            <w:noWrap/>
            <w:vAlign w:val="center"/>
          </w:tcPr>
          <w:p w14:paraId="64075D2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76C92D35">
            <w:pPr>
              <w:keepNext w:val="0"/>
              <w:keepLines w:val="0"/>
              <w:widowControl/>
              <w:suppressLineNumbers w:val="0"/>
              <w:snapToGrid w:val="0"/>
              <w:jc w:val="center"/>
              <w:textAlignment w:val="bottom"/>
              <w:rPr>
                <w:rFonts w:hint="default" w:ascii="Times New Roman" w:hAnsi="Times New Roman" w:eastAsia="楷体" w:cs="宋体"/>
                <w:i w:val="0"/>
                <w:iCs w:val="0"/>
                <w:color w:val="000000"/>
                <w:sz w:val="18"/>
                <w:szCs w:val="18"/>
                <w:u w:val="none"/>
                <w:lang w:val="en-US"/>
              </w:rPr>
            </w:pPr>
            <w:r>
              <w:rPr>
                <w:rFonts w:hint="default" w:ascii="Times New Roman" w:hAnsi="Times New Roman" w:eastAsia="楷体" w:cs="Times New Roman"/>
                <w:i w:val="0"/>
                <w:iCs w:val="0"/>
                <w:color w:val="000000"/>
                <w:kern w:val="0"/>
                <w:sz w:val="18"/>
                <w:szCs w:val="18"/>
                <w:u w:val="none"/>
                <w:lang w:val="en-US" w:eastAsia="zh-CN" w:bidi="ar"/>
              </w:rPr>
              <w:t>-40.67</w:t>
            </w:r>
          </w:p>
        </w:tc>
        <w:tc>
          <w:tcPr>
            <w:tcW w:w="912" w:type="dxa"/>
            <w:tcBorders>
              <w:top w:val="nil"/>
              <w:left w:val="nil"/>
              <w:bottom w:val="nil"/>
              <w:right w:val="nil"/>
            </w:tcBorders>
            <w:shd w:val="clear" w:color="auto" w:fill="auto"/>
            <w:noWrap/>
            <w:vAlign w:val="center"/>
          </w:tcPr>
          <w:p w14:paraId="17B9ADD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2436.14</w:t>
            </w:r>
          </w:p>
        </w:tc>
        <w:tc>
          <w:tcPr>
            <w:tcW w:w="1105" w:type="dxa"/>
            <w:tcBorders>
              <w:top w:val="nil"/>
              <w:left w:val="nil"/>
              <w:bottom w:val="nil"/>
              <w:right w:val="nil"/>
            </w:tcBorders>
            <w:shd w:val="clear" w:color="auto" w:fill="auto"/>
            <w:noWrap/>
            <w:vAlign w:val="center"/>
          </w:tcPr>
          <w:p w14:paraId="223DB5EF">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-26188.93</w:t>
            </w:r>
          </w:p>
        </w:tc>
        <w:tc>
          <w:tcPr>
            <w:tcW w:w="989" w:type="dxa"/>
            <w:tcBorders>
              <w:top w:val="nil"/>
              <w:left w:val="nil"/>
              <w:bottom w:val="nil"/>
              <w:right w:val="nil"/>
            </w:tcBorders>
            <w:shd w:val="clear" w:color="auto" w:fill="auto"/>
            <w:noWrap/>
            <w:vAlign w:val="center"/>
          </w:tcPr>
          <w:p w14:paraId="46FCD983">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-1258.53</w:t>
            </w:r>
          </w:p>
        </w:tc>
        <w:tc>
          <w:tcPr>
            <w:tcW w:w="758" w:type="dxa"/>
            <w:tcBorders>
              <w:top w:val="nil"/>
              <w:left w:val="nil"/>
              <w:bottom w:val="nil"/>
              <w:right w:val="nil"/>
            </w:tcBorders>
            <w:shd w:val="clear" w:color="auto" w:fill="auto"/>
            <w:noWrap/>
            <w:vAlign w:val="center"/>
          </w:tcPr>
          <w:p w14:paraId="7D61A6E1">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19.07</w:t>
            </w:r>
          </w:p>
        </w:tc>
        <w:tc>
          <w:tcPr>
            <w:tcW w:w="913" w:type="dxa"/>
            <w:tcBorders>
              <w:top w:val="nil"/>
              <w:left w:val="nil"/>
              <w:bottom w:val="nil"/>
              <w:right w:val="nil"/>
            </w:tcBorders>
            <w:shd w:val="clear" w:color="auto" w:fill="auto"/>
            <w:noWrap/>
            <w:vAlign w:val="center"/>
          </w:tcPr>
          <w:p w14:paraId="50B2334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1248.40</w:t>
            </w:r>
          </w:p>
        </w:tc>
        <w:tc>
          <w:tcPr>
            <w:tcW w:w="1029" w:type="dxa"/>
            <w:tcBorders>
              <w:top w:val="nil"/>
              <w:left w:val="nil"/>
              <w:bottom w:val="nil"/>
              <w:right w:val="nil"/>
            </w:tcBorders>
            <w:shd w:val="clear" w:color="auto" w:fill="auto"/>
            <w:noWrap/>
            <w:vAlign w:val="center"/>
          </w:tcPr>
          <w:p w14:paraId="04613751">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16694.57</w:t>
            </w:r>
          </w:p>
        </w:tc>
      </w:tr>
      <w:tr w14:paraId="3F358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7AC79895">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US_10Y_Open</w:t>
            </w:r>
          </w:p>
        </w:tc>
        <w:tc>
          <w:tcPr>
            <w:tcW w:w="714" w:type="dxa"/>
            <w:tcBorders>
              <w:top w:val="nil"/>
              <w:left w:val="nil"/>
              <w:bottom w:val="nil"/>
              <w:right w:val="nil"/>
            </w:tcBorders>
            <w:shd w:val="clear" w:color="auto" w:fill="auto"/>
            <w:noWrap/>
            <w:vAlign w:val="center"/>
          </w:tcPr>
          <w:p w14:paraId="795A8DB4">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42FF6B5B">
            <w:pPr>
              <w:keepNext w:val="0"/>
              <w:keepLines w:val="0"/>
              <w:widowControl/>
              <w:suppressLineNumbers w:val="0"/>
              <w:snapToGrid w:val="0"/>
              <w:jc w:val="center"/>
              <w:textAlignment w:val="bottom"/>
              <w:rPr>
                <w:rFonts w:hint="default" w:ascii="Times New Roman" w:hAnsi="Times New Roman" w:eastAsia="楷体" w:cs="宋体"/>
                <w:i w:val="0"/>
                <w:iCs w:val="0"/>
                <w:color w:val="000000"/>
                <w:sz w:val="18"/>
                <w:szCs w:val="18"/>
                <w:u w:val="none"/>
                <w:lang w:val="en-US"/>
              </w:rPr>
            </w:pPr>
            <w:r>
              <w:rPr>
                <w:rFonts w:hint="default" w:ascii="Times New Roman" w:hAnsi="Times New Roman" w:eastAsia="楷体" w:cs="Times New Roman"/>
                <w:i w:val="0"/>
                <w:iCs w:val="0"/>
                <w:color w:val="000000"/>
                <w:kern w:val="0"/>
                <w:sz w:val="18"/>
                <w:szCs w:val="18"/>
                <w:u w:val="none"/>
                <w:lang w:val="en-US" w:eastAsia="zh-CN" w:bidi="ar"/>
              </w:rPr>
              <w:t>2.95</w:t>
            </w:r>
          </w:p>
        </w:tc>
        <w:tc>
          <w:tcPr>
            <w:tcW w:w="912" w:type="dxa"/>
            <w:tcBorders>
              <w:top w:val="nil"/>
              <w:left w:val="nil"/>
              <w:bottom w:val="nil"/>
              <w:right w:val="nil"/>
            </w:tcBorders>
            <w:shd w:val="clear" w:color="auto" w:fill="auto"/>
            <w:noWrap/>
            <w:vAlign w:val="center"/>
          </w:tcPr>
          <w:p w14:paraId="3127DD3B">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1.13</w:t>
            </w:r>
          </w:p>
        </w:tc>
        <w:tc>
          <w:tcPr>
            <w:tcW w:w="1105" w:type="dxa"/>
            <w:tcBorders>
              <w:top w:val="nil"/>
              <w:left w:val="nil"/>
              <w:bottom w:val="nil"/>
              <w:right w:val="nil"/>
            </w:tcBorders>
            <w:shd w:val="clear" w:color="auto" w:fill="auto"/>
            <w:noWrap/>
            <w:vAlign w:val="center"/>
          </w:tcPr>
          <w:p w14:paraId="06C20CA0">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0.51</w:t>
            </w:r>
          </w:p>
        </w:tc>
        <w:tc>
          <w:tcPr>
            <w:tcW w:w="989" w:type="dxa"/>
            <w:tcBorders>
              <w:top w:val="nil"/>
              <w:left w:val="nil"/>
              <w:bottom w:val="nil"/>
              <w:right w:val="nil"/>
            </w:tcBorders>
            <w:shd w:val="clear" w:color="auto" w:fill="auto"/>
            <w:noWrap/>
            <w:vAlign w:val="center"/>
          </w:tcPr>
          <w:p w14:paraId="0EAD861F">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2.03</w:t>
            </w:r>
          </w:p>
        </w:tc>
        <w:tc>
          <w:tcPr>
            <w:tcW w:w="758" w:type="dxa"/>
            <w:tcBorders>
              <w:top w:val="nil"/>
              <w:left w:val="nil"/>
              <w:bottom w:val="nil"/>
              <w:right w:val="nil"/>
            </w:tcBorders>
            <w:shd w:val="clear" w:color="auto" w:fill="auto"/>
            <w:noWrap/>
            <w:vAlign w:val="center"/>
          </w:tcPr>
          <w:p w14:paraId="4C62734E">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2.82</w:t>
            </w:r>
          </w:p>
        </w:tc>
        <w:tc>
          <w:tcPr>
            <w:tcW w:w="913" w:type="dxa"/>
            <w:tcBorders>
              <w:top w:val="nil"/>
              <w:left w:val="nil"/>
              <w:bottom w:val="nil"/>
              <w:right w:val="nil"/>
            </w:tcBorders>
            <w:shd w:val="clear" w:color="auto" w:fill="auto"/>
            <w:noWrap/>
            <w:vAlign w:val="center"/>
          </w:tcPr>
          <w:p w14:paraId="31208C50">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3.87</w:t>
            </w:r>
          </w:p>
        </w:tc>
        <w:tc>
          <w:tcPr>
            <w:tcW w:w="1029" w:type="dxa"/>
            <w:tcBorders>
              <w:top w:val="nil"/>
              <w:left w:val="nil"/>
              <w:bottom w:val="nil"/>
              <w:right w:val="nil"/>
            </w:tcBorders>
            <w:shd w:val="clear" w:color="auto" w:fill="auto"/>
            <w:noWrap/>
            <w:vAlign w:val="center"/>
          </w:tcPr>
          <w:p w14:paraId="1F173771">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5.29</w:t>
            </w:r>
          </w:p>
        </w:tc>
      </w:tr>
      <w:tr w14:paraId="54DA6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27B84C5B">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CN_10Y_Open</w:t>
            </w:r>
          </w:p>
        </w:tc>
        <w:tc>
          <w:tcPr>
            <w:tcW w:w="714" w:type="dxa"/>
            <w:tcBorders>
              <w:top w:val="nil"/>
              <w:left w:val="nil"/>
              <w:bottom w:val="nil"/>
              <w:right w:val="nil"/>
            </w:tcBorders>
            <w:shd w:val="clear" w:color="auto" w:fill="auto"/>
            <w:noWrap/>
            <w:vAlign w:val="center"/>
          </w:tcPr>
          <w:p w14:paraId="217AA017">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04411CC8">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3.31</w:t>
            </w:r>
          </w:p>
        </w:tc>
        <w:tc>
          <w:tcPr>
            <w:tcW w:w="912" w:type="dxa"/>
            <w:tcBorders>
              <w:top w:val="nil"/>
              <w:left w:val="nil"/>
              <w:bottom w:val="nil"/>
              <w:right w:val="nil"/>
            </w:tcBorders>
            <w:shd w:val="clear" w:color="auto" w:fill="auto"/>
            <w:noWrap/>
            <w:vAlign w:val="center"/>
          </w:tcPr>
          <w:p w14:paraId="5B2FFCB3">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0.64</w:t>
            </w:r>
          </w:p>
        </w:tc>
        <w:tc>
          <w:tcPr>
            <w:tcW w:w="1105" w:type="dxa"/>
            <w:tcBorders>
              <w:top w:val="nil"/>
              <w:left w:val="nil"/>
              <w:bottom w:val="nil"/>
              <w:right w:val="nil"/>
            </w:tcBorders>
            <w:shd w:val="clear" w:color="auto" w:fill="auto"/>
            <w:noWrap/>
            <w:vAlign w:val="center"/>
          </w:tcPr>
          <w:p w14:paraId="327C81F2">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1.62</w:t>
            </w:r>
          </w:p>
        </w:tc>
        <w:tc>
          <w:tcPr>
            <w:tcW w:w="989" w:type="dxa"/>
            <w:tcBorders>
              <w:top w:val="nil"/>
              <w:left w:val="nil"/>
              <w:bottom w:val="nil"/>
              <w:right w:val="nil"/>
            </w:tcBorders>
            <w:shd w:val="clear" w:color="auto" w:fill="auto"/>
            <w:noWrap/>
            <w:vAlign w:val="center"/>
          </w:tcPr>
          <w:p w14:paraId="47209E68">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2.93</w:t>
            </w:r>
          </w:p>
        </w:tc>
        <w:tc>
          <w:tcPr>
            <w:tcW w:w="758" w:type="dxa"/>
            <w:tcBorders>
              <w:top w:val="nil"/>
              <w:left w:val="nil"/>
              <w:bottom w:val="nil"/>
              <w:right w:val="nil"/>
            </w:tcBorders>
            <w:shd w:val="clear" w:color="auto" w:fill="auto"/>
            <w:noWrap/>
            <w:vAlign w:val="center"/>
          </w:tcPr>
          <w:p w14:paraId="6B25515B">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3.32</w:t>
            </w:r>
          </w:p>
        </w:tc>
        <w:tc>
          <w:tcPr>
            <w:tcW w:w="913" w:type="dxa"/>
            <w:tcBorders>
              <w:top w:val="nil"/>
              <w:left w:val="nil"/>
              <w:bottom w:val="nil"/>
              <w:right w:val="nil"/>
            </w:tcBorders>
            <w:shd w:val="clear" w:color="auto" w:fill="auto"/>
            <w:noWrap/>
            <w:vAlign w:val="center"/>
          </w:tcPr>
          <w:p w14:paraId="1EB69D52">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3.68</w:t>
            </w:r>
          </w:p>
        </w:tc>
        <w:tc>
          <w:tcPr>
            <w:tcW w:w="1029" w:type="dxa"/>
            <w:tcBorders>
              <w:top w:val="nil"/>
              <w:left w:val="nil"/>
              <w:bottom w:val="nil"/>
              <w:right w:val="nil"/>
            </w:tcBorders>
            <w:shd w:val="clear" w:color="auto" w:fill="auto"/>
            <w:noWrap/>
            <w:vAlign w:val="center"/>
          </w:tcPr>
          <w:p w14:paraId="506633D1">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4.73</w:t>
            </w:r>
          </w:p>
        </w:tc>
      </w:tr>
      <w:tr w14:paraId="385E3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40EB46B3">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UK_10Y_Open</w:t>
            </w:r>
          </w:p>
        </w:tc>
        <w:tc>
          <w:tcPr>
            <w:tcW w:w="714" w:type="dxa"/>
            <w:tcBorders>
              <w:top w:val="nil"/>
              <w:left w:val="nil"/>
              <w:bottom w:val="nil"/>
              <w:right w:val="nil"/>
            </w:tcBorders>
            <w:shd w:val="clear" w:color="auto" w:fill="auto"/>
            <w:noWrap/>
            <w:vAlign w:val="center"/>
          </w:tcPr>
          <w:p w14:paraId="668D7DD5">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2DBE1F13">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2.75</w:t>
            </w:r>
          </w:p>
        </w:tc>
        <w:tc>
          <w:tcPr>
            <w:tcW w:w="912" w:type="dxa"/>
            <w:tcBorders>
              <w:top w:val="nil"/>
              <w:left w:val="nil"/>
              <w:bottom w:val="nil"/>
              <w:right w:val="nil"/>
            </w:tcBorders>
            <w:shd w:val="clear" w:color="auto" w:fill="auto"/>
            <w:noWrap/>
            <w:vAlign w:val="center"/>
          </w:tcPr>
          <w:p w14:paraId="2F10A14B">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1.49</w:t>
            </w:r>
          </w:p>
        </w:tc>
        <w:tc>
          <w:tcPr>
            <w:tcW w:w="1105" w:type="dxa"/>
            <w:tcBorders>
              <w:top w:val="nil"/>
              <w:left w:val="nil"/>
              <w:bottom w:val="nil"/>
              <w:right w:val="nil"/>
            </w:tcBorders>
            <w:shd w:val="clear" w:color="auto" w:fill="auto"/>
            <w:noWrap/>
            <w:vAlign w:val="center"/>
          </w:tcPr>
          <w:p w14:paraId="055DDCE8">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0.08</w:t>
            </w:r>
          </w:p>
        </w:tc>
        <w:tc>
          <w:tcPr>
            <w:tcW w:w="989" w:type="dxa"/>
            <w:tcBorders>
              <w:top w:val="nil"/>
              <w:left w:val="nil"/>
              <w:bottom w:val="nil"/>
              <w:right w:val="nil"/>
            </w:tcBorders>
            <w:shd w:val="clear" w:color="auto" w:fill="auto"/>
            <w:noWrap/>
            <w:vAlign w:val="center"/>
          </w:tcPr>
          <w:p w14:paraId="1831941A">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1.42</w:t>
            </w:r>
          </w:p>
        </w:tc>
        <w:tc>
          <w:tcPr>
            <w:tcW w:w="758" w:type="dxa"/>
            <w:tcBorders>
              <w:top w:val="nil"/>
              <w:left w:val="nil"/>
              <w:bottom w:val="nil"/>
              <w:right w:val="nil"/>
            </w:tcBorders>
            <w:shd w:val="clear" w:color="auto" w:fill="auto"/>
            <w:noWrap/>
            <w:vAlign w:val="center"/>
          </w:tcPr>
          <w:p w14:paraId="373BB554">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2.68</w:t>
            </w:r>
          </w:p>
        </w:tc>
        <w:tc>
          <w:tcPr>
            <w:tcW w:w="913" w:type="dxa"/>
            <w:tcBorders>
              <w:top w:val="nil"/>
              <w:left w:val="nil"/>
              <w:bottom w:val="nil"/>
              <w:right w:val="nil"/>
            </w:tcBorders>
            <w:shd w:val="clear" w:color="auto" w:fill="auto"/>
            <w:noWrap/>
            <w:vAlign w:val="center"/>
          </w:tcPr>
          <w:p w14:paraId="20463D9A">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4.18</w:t>
            </w:r>
          </w:p>
        </w:tc>
        <w:tc>
          <w:tcPr>
            <w:tcW w:w="1029" w:type="dxa"/>
            <w:tcBorders>
              <w:top w:val="nil"/>
              <w:left w:val="nil"/>
              <w:bottom w:val="nil"/>
              <w:right w:val="nil"/>
            </w:tcBorders>
            <w:shd w:val="clear" w:color="auto" w:fill="auto"/>
            <w:noWrap/>
            <w:vAlign w:val="center"/>
          </w:tcPr>
          <w:p w14:paraId="0ADD0336">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5.58</w:t>
            </w:r>
          </w:p>
        </w:tc>
      </w:tr>
      <w:tr w14:paraId="0FF7A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51ACADF9">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JP_10Y_Open</w:t>
            </w:r>
          </w:p>
        </w:tc>
        <w:tc>
          <w:tcPr>
            <w:tcW w:w="714" w:type="dxa"/>
            <w:tcBorders>
              <w:top w:val="nil"/>
              <w:left w:val="nil"/>
              <w:bottom w:val="nil"/>
              <w:right w:val="nil"/>
            </w:tcBorders>
            <w:shd w:val="clear" w:color="auto" w:fill="auto"/>
            <w:noWrap/>
            <w:vAlign w:val="center"/>
          </w:tcPr>
          <w:p w14:paraId="10019B8D">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031EAB76">
            <w:pPr>
              <w:keepNext w:val="0"/>
              <w:keepLines w:val="0"/>
              <w:widowControl/>
              <w:suppressLineNumbers w:val="0"/>
              <w:snapToGrid w:val="0"/>
              <w:jc w:val="center"/>
              <w:textAlignment w:val="bottom"/>
              <w:rPr>
                <w:rFonts w:hint="default" w:ascii="Times New Roman" w:hAnsi="Times New Roman" w:eastAsia="楷体" w:cs="宋体"/>
                <w:i w:val="0"/>
                <w:iCs w:val="0"/>
                <w:color w:val="000000"/>
                <w:sz w:val="18"/>
                <w:szCs w:val="18"/>
                <w:u w:val="none"/>
                <w:lang w:val="en-US"/>
              </w:rPr>
            </w:pPr>
            <w:r>
              <w:rPr>
                <w:rFonts w:hint="default" w:ascii="Times New Roman" w:hAnsi="Times New Roman" w:eastAsia="楷体" w:cs="Times New Roman"/>
                <w:i w:val="0"/>
                <w:iCs w:val="0"/>
                <w:color w:val="000000"/>
                <w:kern w:val="0"/>
                <w:sz w:val="18"/>
                <w:szCs w:val="18"/>
                <w:u w:val="none"/>
                <w:lang w:val="en-US" w:eastAsia="zh-CN" w:bidi="ar"/>
              </w:rPr>
              <w:t>0.76</w:t>
            </w:r>
          </w:p>
        </w:tc>
        <w:tc>
          <w:tcPr>
            <w:tcW w:w="912" w:type="dxa"/>
            <w:tcBorders>
              <w:top w:val="nil"/>
              <w:left w:val="nil"/>
              <w:bottom w:val="nil"/>
              <w:right w:val="nil"/>
            </w:tcBorders>
            <w:shd w:val="clear" w:color="auto" w:fill="auto"/>
            <w:noWrap/>
            <w:vAlign w:val="center"/>
          </w:tcPr>
          <w:p w14:paraId="53D35538">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0.63</w:t>
            </w:r>
          </w:p>
        </w:tc>
        <w:tc>
          <w:tcPr>
            <w:tcW w:w="1105" w:type="dxa"/>
            <w:tcBorders>
              <w:top w:val="nil"/>
              <w:left w:val="nil"/>
              <w:bottom w:val="nil"/>
              <w:right w:val="nil"/>
            </w:tcBorders>
            <w:shd w:val="clear" w:color="auto" w:fill="auto"/>
            <w:noWrap/>
            <w:vAlign w:val="center"/>
          </w:tcPr>
          <w:p w14:paraId="127F25DE">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-0.29</w:t>
            </w:r>
          </w:p>
        </w:tc>
        <w:tc>
          <w:tcPr>
            <w:tcW w:w="989" w:type="dxa"/>
            <w:tcBorders>
              <w:top w:val="nil"/>
              <w:left w:val="nil"/>
              <w:bottom w:val="nil"/>
              <w:right w:val="nil"/>
            </w:tcBorders>
            <w:shd w:val="clear" w:color="auto" w:fill="auto"/>
            <w:noWrap/>
            <w:vAlign w:val="center"/>
          </w:tcPr>
          <w:p w14:paraId="5ACA2C41">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0.09</w:t>
            </w:r>
          </w:p>
        </w:tc>
        <w:tc>
          <w:tcPr>
            <w:tcW w:w="758" w:type="dxa"/>
            <w:tcBorders>
              <w:top w:val="nil"/>
              <w:left w:val="nil"/>
              <w:bottom w:val="nil"/>
              <w:right w:val="nil"/>
            </w:tcBorders>
            <w:shd w:val="clear" w:color="auto" w:fill="auto"/>
            <w:noWrap/>
            <w:vAlign w:val="center"/>
          </w:tcPr>
          <w:p w14:paraId="5EBAFFC0">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0.73</w:t>
            </w:r>
          </w:p>
        </w:tc>
        <w:tc>
          <w:tcPr>
            <w:tcW w:w="913" w:type="dxa"/>
            <w:tcBorders>
              <w:top w:val="nil"/>
              <w:left w:val="nil"/>
              <w:bottom w:val="nil"/>
              <w:right w:val="nil"/>
            </w:tcBorders>
            <w:shd w:val="clear" w:color="auto" w:fill="auto"/>
            <w:noWrap/>
            <w:vAlign w:val="center"/>
          </w:tcPr>
          <w:p w14:paraId="3A4BABD5">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1.33</w:t>
            </w:r>
          </w:p>
        </w:tc>
        <w:tc>
          <w:tcPr>
            <w:tcW w:w="1029" w:type="dxa"/>
            <w:tcBorders>
              <w:top w:val="nil"/>
              <w:left w:val="nil"/>
              <w:bottom w:val="nil"/>
              <w:right w:val="nil"/>
            </w:tcBorders>
            <w:shd w:val="clear" w:color="auto" w:fill="auto"/>
            <w:noWrap/>
            <w:vAlign w:val="center"/>
          </w:tcPr>
          <w:p w14:paraId="6C4FBC37">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2.01</w:t>
            </w:r>
          </w:p>
        </w:tc>
      </w:tr>
      <w:tr w14:paraId="5AA95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7EA5B7A5">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GER_10Y_Open</w:t>
            </w:r>
          </w:p>
        </w:tc>
        <w:tc>
          <w:tcPr>
            <w:tcW w:w="714" w:type="dxa"/>
            <w:tcBorders>
              <w:top w:val="nil"/>
              <w:left w:val="nil"/>
              <w:bottom w:val="nil"/>
              <w:right w:val="nil"/>
            </w:tcBorders>
            <w:shd w:val="clear" w:color="auto" w:fill="auto"/>
            <w:noWrap/>
            <w:vAlign w:val="center"/>
          </w:tcPr>
          <w:p w14:paraId="2BD094B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3A60F7F3">
            <w:pPr>
              <w:keepNext w:val="0"/>
              <w:keepLines w:val="0"/>
              <w:widowControl/>
              <w:suppressLineNumbers w:val="0"/>
              <w:snapToGrid w:val="0"/>
              <w:jc w:val="center"/>
              <w:textAlignment w:val="bottom"/>
              <w:rPr>
                <w:rFonts w:hint="default" w:ascii="Times New Roman" w:hAnsi="Times New Roman" w:eastAsia="楷体" w:cs="宋体"/>
                <w:i w:val="0"/>
                <w:iCs w:val="0"/>
                <w:color w:val="000000"/>
                <w:sz w:val="18"/>
                <w:szCs w:val="18"/>
                <w:u w:val="none"/>
                <w:lang w:val="en-US"/>
              </w:rPr>
            </w:pPr>
            <w:r>
              <w:rPr>
                <w:rFonts w:hint="default" w:ascii="Times New Roman" w:hAnsi="Times New Roman" w:eastAsia="楷体" w:cs="Times New Roman"/>
                <w:i w:val="0"/>
                <w:iCs w:val="0"/>
                <w:color w:val="000000"/>
                <w:kern w:val="0"/>
                <w:sz w:val="18"/>
                <w:szCs w:val="18"/>
                <w:u w:val="none"/>
                <w:lang w:val="en-US" w:eastAsia="zh-CN" w:bidi="ar"/>
              </w:rPr>
              <w:t>1.81</w:t>
            </w:r>
          </w:p>
        </w:tc>
        <w:tc>
          <w:tcPr>
            <w:tcW w:w="912" w:type="dxa"/>
            <w:tcBorders>
              <w:top w:val="nil"/>
              <w:left w:val="nil"/>
              <w:bottom w:val="nil"/>
              <w:right w:val="nil"/>
            </w:tcBorders>
            <w:shd w:val="clear" w:color="auto" w:fill="auto"/>
            <w:noWrap/>
            <w:vAlign w:val="center"/>
          </w:tcPr>
          <w:p w14:paraId="6F77EC1A">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1.51</w:t>
            </w:r>
          </w:p>
        </w:tc>
        <w:tc>
          <w:tcPr>
            <w:tcW w:w="1105" w:type="dxa"/>
            <w:tcBorders>
              <w:top w:val="nil"/>
              <w:left w:val="nil"/>
              <w:bottom w:val="nil"/>
              <w:right w:val="nil"/>
            </w:tcBorders>
            <w:shd w:val="clear" w:color="auto" w:fill="auto"/>
            <w:noWrap/>
            <w:vAlign w:val="center"/>
          </w:tcPr>
          <w:p w14:paraId="201893BB">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-0.79</w:t>
            </w:r>
          </w:p>
        </w:tc>
        <w:tc>
          <w:tcPr>
            <w:tcW w:w="989" w:type="dxa"/>
            <w:tcBorders>
              <w:top w:val="nil"/>
              <w:left w:val="nil"/>
              <w:bottom w:val="nil"/>
              <w:right w:val="nil"/>
            </w:tcBorders>
            <w:shd w:val="clear" w:color="auto" w:fill="auto"/>
            <w:noWrap/>
            <w:vAlign w:val="center"/>
          </w:tcPr>
          <w:p w14:paraId="28B28A73">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0.39</w:t>
            </w:r>
          </w:p>
        </w:tc>
        <w:tc>
          <w:tcPr>
            <w:tcW w:w="758" w:type="dxa"/>
            <w:tcBorders>
              <w:top w:val="nil"/>
              <w:left w:val="nil"/>
              <w:bottom w:val="nil"/>
              <w:right w:val="nil"/>
            </w:tcBorders>
            <w:shd w:val="clear" w:color="auto" w:fill="auto"/>
            <w:noWrap/>
            <w:vAlign w:val="center"/>
          </w:tcPr>
          <w:p w14:paraId="05A54701">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1.85</w:t>
            </w:r>
          </w:p>
        </w:tc>
        <w:tc>
          <w:tcPr>
            <w:tcW w:w="913" w:type="dxa"/>
            <w:tcBorders>
              <w:top w:val="nil"/>
              <w:left w:val="nil"/>
              <w:bottom w:val="nil"/>
              <w:right w:val="nil"/>
            </w:tcBorders>
            <w:shd w:val="clear" w:color="auto" w:fill="auto"/>
            <w:noWrap/>
            <w:vAlign w:val="center"/>
          </w:tcPr>
          <w:p w14:paraId="6A799DA6">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3.07</w:t>
            </w:r>
          </w:p>
        </w:tc>
        <w:tc>
          <w:tcPr>
            <w:tcW w:w="1029" w:type="dxa"/>
            <w:tcBorders>
              <w:top w:val="nil"/>
              <w:left w:val="nil"/>
              <w:bottom w:val="nil"/>
              <w:right w:val="nil"/>
            </w:tcBorders>
            <w:shd w:val="clear" w:color="auto" w:fill="auto"/>
            <w:noWrap/>
            <w:vAlign w:val="center"/>
          </w:tcPr>
          <w:p w14:paraId="0CC2386A">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4.69</w:t>
            </w:r>
          </w:p>
        </w:tc>
      </w:tr>
      <w:tr w14:paraId="60286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19005A51">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VIX_Open</w:t>
            </w:r>
          </w:p>
        </w:tc>
        <w:tc>
          <w:tcPr>
            <w:tcW w:w="714" w:type="dxa"/>
            <w:tcBorders>
              <w:top w:val="nil"/>
              <w:left w:val="nil"/>
              <w:bottom w:val="nil"/>
              <w:right w:val="nil"/>
            </w:tcBorders>
            <w:shd w:val="clear" w:color="auto" w:fill="auto"/>
            <w:noWrap/>
            <w:vAlign w:val="center"/>
          </w:tcPr>
          <w:p w14:paraId="18A37F5B">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64C9D93B">
            <w:pPr>
              <w:keepNext w:val="0"/>
              <w:keepLines w:val="0"/>
              <w:widowControl/>
              <w:suppressLineNumbers w:val="0"/>
              <w:snapToGrid w:val="0"/>
              <w:jc w:val="center"/>
              <w:textAlignment w:val="bottom"/>
              <w:rPr>
                <w:rFonts w:hint="default" w:ascii="Times New Roman" w:hAnsi="Times New Roman" w:eastAsia="楷体" w:cs="宋体"/>
                <w:i w:val="0"/>
                <w:iCs w:val="0"/>
                <w:color w:val="000000"/>
                <w:sz w:val="18"/>
                <w:szCs w:val="18"/>
                <w:u w:val="none"/>
                <w:lang w:val="en-US"/>
              </w:rPr>
            </w:pPr>
            <w:r>
              <w:rPr>
                <w:rFonts w:hint="default" w:ascii="Times New Roman" w:hAnsi="Times New Roman" w:eastAsia="楷体" w:cs="Times New Roman"/>
                <w:i w:val="0"/>
                <w:iCs w:val="0"/>
                <w:color w:val="000000"/>
                <w:kern w:val="0"/>
                <w:sz w:val="18"/>
                <w:szCs w:val="18"/>
                <w:u w:val="none"/>
                <w:lang w:val="en-US" w:eastAsia="zh-CN" w:bidi="ar"/>
              </w:rPr>
              <w:t>19.73</w:t>
            </w:r>
          </w:p>
        </w:tc>
        <w:tc>
          <w:tcPr>
            <w:tcW w:w="912" w:type="dxa"/>
            <w:tcBorders>
              <w:top w:val="nil"/>
              <w:left w:val="nil"/>
              <w:bottom w:val="nil"/>
              <w:right w:val="nil"/>
            </w:tcBorders>
            <w:shd w:val="clear" w:color="auto" w:fill="auto"/>
            <w:noWrap/>
            <w:vAlign w:val="center"/>
          </w:tcPr>
          <w:p w14:paraId="5808DE7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9.01</w:t>
            </w:r>
          </w:p>
        </w:tc>
        <w:tc>
          <w:tcPr>
            <w:tcW w:w="1105" w:type="dxa"/>
            <w:tcBorders>
              <w:top w:val="nil"/>
              <w:left w:val="nil"/>
              <w:bottom w:val="nil"/>
              <w:right w:val="nil"/>
            </w:tcBorders>
            <w:shd w:val="clear" w:color="auto" w:fill="auto"/>
            <w:noWrap/>
            <w:vAlign w:val="center"/>
          </w:tcPr>
          <w:p w14:paraId="1F1B7906">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9.10</w:t>
            </w:r>
          </w:p>
        </w:tc>
        <w:tc>
          <w:tcPr>
            <w:tcW w:w="989" w:type="dxa"/>
            <w:tcBorders>
              <w:top w:val="nil"/>
              <w:left w:val="nil"/>
              <w:bottom w:val="nil"/>
              <w:right w:val="nil"/>
            </w:tcBorders>
            <w:shd w:val="clear" w:color="auto" w:fill="auto"/>
            <w:noWrap/>
            <w:vAlign w:val="center"/>
          </w:tcPr>
          <w:p w14:paraId="59BC8D44">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13.84</w:t>
            </w:r>
          </w:p>
        </w:tc>
        <w:tc>
          <w:tcPr>
            <w:tcW w:w="758" w:type="dxa"/>
            <w:tcBorders>
              <w:top w:val="nil"/>
              <w:left w:val="nil"/>
              <w:bottom w:val="nil"/>
              <w:right w:val="nil"/>
            </w:tcBorders>
            <w:shd w:val="clear" w:color="auto" w:fill="auto"/>
            <w:noWrap/>
            <w:vAlign w:val="center"/>
          </w:tcPr>
          <w:p w14:paraId="4547E78D">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17.30</w:t>
            </w:r>
          </w:p>
        </w:tc>
        <w:tc>
          <w:tcPr>
            <w:tcW w:w="913" w:type="dxa"/>
            <w:tcBorders>
              <w:top w:val="nil"/>
              <w:left w:val="nil"/>
              <w:bottom w:val="nil"/>
              <w:right w:val="nil"/>
            </w:tcBorders>
            <w:shd w:val="clear" w:color="auto" w:fill="auto"/>
            <w:noWrap/>
            <w:vAlign w:val="center"/>
          </w:tcPr>
          <w:p w14:paraId="7E055C34">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22.81</w:t>
            </w:r>
          </w:p>
        </w:tc>
        <w:tc>
          <w:tcPr>
            <w:tcW w:w="1029" w:type="dxa"/>
            <w:tcBorders>
              <w:top w:val="nil"/>
              <w:left w:val="nil"/>
              <w:bottom w:val="nil"/>
              <w:right w:val="nil"/>
            </w:tcBorders>
            <w:shd w:val="clear" w:color="auto" w:fill="auto"/>
            <w:noWrap/>
            <w:vAlign w:val="center"/>
          </w:tcPr>
          <w:p w14:paraId="063F2928">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82.69</w:t>
            </w:r>
          </w:p>
        </w:tc>
      </w:tr>
      <w:tr w14:paraId="2FC62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57F1EC9E">
            <w:pPr>
              <w:keepNext w:val="0"/>
              <w:keepLines w:val="0"/>
              <w:widowControl/>
              <w:suppressLineNumbers w:val="0"/>
              <w:snapToGrid w:val="0"/>
              <w:jc w:val="center"/>
              <w:textAlignment w:val="top"/>
              <w:rPr>
                <w:rFonts w:hint="default" w:ascii="Times New Roman" w:hAnsi="Times New Roman" w:eastAsia="楷体" w:cs="Times New Roman"/>
                <w:b/>
                <w:bCs/>
                <w:i w:val="0"/>
                <w:iCs w:val="0"/>
                <w:color w:val="000000"/>
                <w:kern w:val="0"/>
                <w:sz w:val="18"/>
                <w:szCs w:val="18"/>
                <w:u w:val="none"/>
                <w:lang w:val="en-US" w:eastAsia="zh-CN" w:bidi="ar"/>
              </w:rPr>
            </w:pPr>
            <w:r>
              <w:rPr>
                <w:rFonts w:hint="default" w:ascii="Times New Roman" w:hAnsi="Times New Roman" w:eastAsia="楷体" w:cs="Times New Roman"/>
                <w:b/>
                <w:bCs/>
                <w:i w:val="0"/>
                <w:iCs w:val="0"/>
                <w:color w:val="000000"/>
                <w:kern w:val="0"/>
                <w:sz w:val="18"/>
                <w:szCs w:val="18"/>
                <w:u w:val="none"/>
                <w:lang w:val="en-US" w:eastAsia="zh-CN" w:bidi="ar"/>
              </w:rPr>
              <w:t>US_index_Open</w:t>
            </w:r>
          </w:p>
        </w:tc>
        <w:tc>
          <w:tcPr>
            <w:tcW w:w="714" w:type="dxa"/>
            <w:tcBorders>
              <w:top w:val="nil"/>
              <w:left w:val="nil"/>
              <w:bottom w:val="nil"/>
              <w:right w:val="nil"/>
            </w:tcBorders>
            <w:shd w:val="clear" w:color="auto" w:fill="auto"/>
            <w:noWrap/>
            <w:vAlign w:val="center"/>
          </w:tcPr>
          <w:p w14:paraId="527C4F82">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6187E85A">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27.78</w:t>
            </w:r>
          </w:p>
        </w:tc>
        <w:tc>
          <w:tcPr>
            <w:tcW w:w="912" w:type="dxa"/>
            <w:tcBorders>
              <w:top w:val="nil"/>
              <w:left w:val="nil"/>
              <w:bottom w:val="nil"/>
              <w:right w:val="nil"/>
            </w:tcBorders>
            <w:shd w:val="clear" w:color="auto" w:fill="auto"/>
            <w:noWrap/>
            <w:vAlign w:val="center"/>
          </w:tcPr>
          <w:p w14:paraId="1D067036">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1138.51</w:t>
            </w:r>
          </w:p>
        </w:tc>
        <w:tc>
          <w:tcPr>
            <w:tcW w:w="1105" w:type="dxa"/>
            <w:tcBorders>
              <w:top w:val="nil"/>
              <w:left w:val="nil"/>
              <w:bottom w:val="nil"/>
              <w:right w:val="nil"/>
            </w:tcBorders>
            <w:shd w:val="clear" w:color="auto" w:fill="auto"/>
            <w:noWrap/>
            <w:vAlign w:val="center"/>
          </w:tcPr>
          <w:p w14:paraId="02444FB1">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-9114.04</w:t>
            </w:r>
          </w:p>
        </w:tc>
        <w:tc>
          <w:tcPr>
            <w:tcW w:w="989" w:type="dxa"/>
            <w:tcBorders>
              <w:top w:val="nil"/>
              <w:left w:val="nil"/>
              <w:bottom w:val="nil"/>
              <w:right w:val="nil"/>
            </w:tcBorders>
            <w:shd w:val="clear" w:color="auto" w:fill="auto"/>
            <w:noWrap/>
            <w:vAlign w:val="center"/>
          </w:tcPr>
          <w:p w14:paraId="1097026E">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-394.86</w:t>
            </w:r>
          </w:p>
        </w:tc>
        <w:tc>
          <w:tcPr>
            <w:tcW w:w="758" w:type="dxa"/>
            <w:tcBorders>
              <w:top w:val="nil"/>
              <w:left w:val="nil"/>
              <w:bottom w:val="nil"/>
              <w:right w:val="nil"/>
            </w:tcBorders>
            <w:shd w:val="clear" w:color="auto" w:fill="auto"/>
            <w:noWrap/>
            <w:vAlign w:val="center"/>
          </w:tcPr>
          <w:p w14:paraId="7A0BAC30">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80.22</w:t>
            </w:r>
          </w:p>
        </w:tc>
        <w:tc>
          <w:tcPr>
            <w:tcW w:w="913" w:type="dxa"/>
            <w:tcBorders>
              <w:top w:val="nil"/>
              <w:left w:val="nil"/>
              <w:bottom w:val="nil"/>
              <w:right w:val="nil"/>
            </w:tcBorders>
            <w:shd w:val="clear" w:color="auto" w:fill="auto"/>
            <w:noWrap/>
            <w:vAlign w:val="center"/>
          </w:tcPr>
          <w:p w14:paraId="66A2CC40">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560.42</w:t>
            </w:r>
          </w:p>
        </w:tc>
        <w:tc>
          <w:tcPr>
            <w:tcW w:w="1029" w:type="dxa"/>
            <w:tcBorders>
              <w:top w:val="nil"/>
              <w:left w:val="nil"/>
              <w:bottom w:val="nil"/>
              <w:right w:val="nil"/>
            </w:tcBorders>
            <w:shd w:val="clear" w:color="auto" w:fill="auto"/>
            <w:noWrap/>
            <w:vAlign w:val="center"/>
          </w:tcPr>
          <w:p w14:paraId="48BB74E8">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10140.64</w:t>
            </w:r>
          </w:p>
        </w:tc>
      </w:tr>
      <w:tr w14:paraId="057C8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560CF5B6">
            <w:pPr>
              <w:keepNext w:val="0"/>
              <w:keepLines w:val="0"/>
              <w:widowControl/>
              <w:suppressLineNumbers w:val="0"/>
              <w:snapToGrid w:val="0"/>
              <w:jc w:val="center"/>
              <w:textAlignment w:val="top"/>
              <w:rPr>
                <w:rFonts w:hint="default" w:ascii="Times New Roman" w:hAnsi="Times New Roman" w:eastAsia="楷体" w:cs="Times New Roman"/>
                <w:b/>
                <w:bCs/>
                <w:i w:val="0"/>
                <w:iCs w:val="0"/>
                <w:color w:val="000000"/>
                <w:kern w:val="0"/>
                <w:sz w:val="18"/>
                <w:szCs w:val="18"/>
                <w:u w:val="none"/>
                <w:lang w:val="en-US" w:eastAsia="zh-CN" w:bidi="ar"/>
              </w:rPr>
            </w:pPr>
            <w:r>
              <w:rPr>
                <w:rFonts w:hint="default" w:ascii="Times New Roman" w:hAnsi="Times New Roman" w:eastAsia="楷体" w:cs="Times New Roman"/>
                <w:b/>
                <w:bCs/>
                <w:i w:val="0"/>
                <w:iCs w:val="0"/>
                <w:color w:val="000000"/>
                <w:kern w:val="0"/>
                <w:sz w:val="18"/>
                <w:szCs w:val="18"/>
                <w:u w:val="none"/>
                <w:lang w:val="en-US" w:eastAsia="zh-CN" w:bidi="ar"/>
              </w:rPr>
              <w:t>CN_index_Open</w:t>
            </w:r>
          </w:p>
        </w:tc>
        <w:tc>
          <w:tcPr>
            <w:tcW w:w="714" w:type="dxa"/>
            <w:tcBorders>
              <w:top w:val="nil"/>
              <w:left w:val="nil"/>
              <w:bottom w:val="nil"/>
              <w:right w:val="nil"/>
            </w:tcBorders>
            <w:shd w:val="clear" w:color="auto" w:fill="auto"/>
            <w:noWrap/>
            <w:vAlign w:val="center"/>
          </w:tcPr>
          <w:p w14:paraId="02AC986A">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72689CD7">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-13.22</w:t>
            </w:r>
          </w:p>
        </w:tc>
        <w:tc>
          <w:tcPr>
            <w:tcW w:w="912" w:type="dxa"/>
            <w:tcBorders>
              <w:top w:val="nil"/>
              <w:left w:val="nil"/>
              <w:bottom w:val="nil"/>
              <w:right w:val="nil"/>
            </w:tcBorders>
            <w:shd w:val="clear" w:color="auto" w:fill="auto"/>
            <w:noWrap/>
            <w:vAlign w:val="center"/>
          </w:tcPr>
          <w:p w14:paraId="2B7D038B">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1772.22</w:t>
            </w:r>
          </w:p>
        </w:tc>
        <w:tc>
          <w:tcPr>
            <w:tcW w:w="1105" w:type="dxa"/>
            <w:tcBorders>
              <w:top w:val="nil"/>
              <w:left w:val="nil"/>
              <w:bottom w:val="nil"/>
              <w:right w:val="nil"/>
            </w:tcBorders>
            <w:shd w:val="clear" w:color="auto" w:fill="auto"/>
            <w:noWrap/>
            <w:vAlign w:val="center"/>
          </w:tcPr>
          <w:p w14:paraId="2548577E">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-11878.16</w:t>
            </w:r>
          </w:p>
        </w:tc>
        <w:tc>
          <w:tcPr>
            <w:tcW w:w="989" w:type="dxa"/>
            <w:tcBorders>
              <w:top w:val="nil"/>
              <w:left w:val="nil"/>
              <w:bottom w:val="nil"/>
              <w:right w:val="nil"/>
            </w:tcBorders>
            <w:shd w:val="clear" w:color="auto" w:fill="auto"/>
            <w:noWrap/>
            <w:vAlign w:val="center"/>
          </w:tcPr>
          <w:p w14:paraId="7DDE6B04">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-736.78</w:t>
            </w:r>
          </w:p>
        </w:tc>
        <w:tc>
          <w:tcPr>
            <w:tcW w:w="758" w:type="dxa"/>
            <w:tcBorders>
              <w:top w:val="nil"/>
              <w:left w:val="nil"/>
              <w:bottom w:val="nil"/>
              <w:right w:val="nil"/>
            </w:tcBorders>
            <w:shd w:val="clear" w:color="auto" w:fill="auto"/>
            <w:noWrap/>
            <w:vAlign w:val="center"/>
          </w:tcPr>
          <w:p w14:paraId="089C3FD5">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-15.93</w:t>
            </w:r>
          </w:p>
        </w:tc>
        <w:tc>
          <w:tcPr>
            <w:tcW w:w="913" w:type="dxa"/>
            <w:tcBorders>
              <w:top w:val="nil"/>
              <w:left w:val="nil"/>
              <w:bottom w:val="nil"/>
              <w:right w:val="nil"/>
            </w:tcBorders>
            <w:shd w:val="clear" w:color="auto" w:fill="auto"/>
            <w:noWrap/>
            <w:vAlign w:val="center"/>
          </w:tcPr>
          <w:p w14:paraId="350CE0B3">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819.62</w:t>
            </w:r>
          </w:p>
        </w:tc>
        <w:tc>
          <w:tcPr>
            <w:tcW w:w="1029" w:type="dxa"/>
            <w:tcBorders>
              <w:top w:val="nil"/>
              <w:left w:val="nil"/>
              <w:bottom w:val="nil"/>
              <w:right w:val="nil"/>
            </w:tcBorders>
            <w:shd w:val="clear" w:color="auto" w:fill="auto"/>
            <w:noWrap/>
            <w:vAlign w:val="center"/>
          </w:tcPr>
          <w:p w14:paraId="59DED2CB">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13492.15</w:t>
            </w:r>
          </w:p>
        </w:tc>
      </w:tr>
      <w:tr w14:paraId="1C786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718ECAC9">
            <w:pPr>
              <w:keepNext w:val="0"/>
              <w:keepLines w:val="0"/>
              <w:widowControl/>
              <w:suppressLineNumbers w:val="0"/>
              <w:snapToGrid w:val="0"/>
              <w:jc w:val="center"/>
              <w:textAlignment w:val="top"/>
              <w:rPr>
                <w:rFonts w:hint="default" w:ascii="Times New Roman" w:hAnsi="Times New Roman" w:eastAsia="楷体" w:cs="Times New Roman"/>
                <w:b/>
                <w:bCs/>
                <w:i w:val="0"/>
                <w:iCs w:val="0"/>
                <w:color w:val="000000"/>
                <w:kern w:val="0"/>
                <w:sz w:val="18"/>
                <w:szCs w:val="18"/>
                <w:u w:val="none"/>
                <w:lang w:val="en-US" w:eastAsia="zh-CN" w:bidi="ar"/>
              </w:rPr>
            </w:pPr>
            <w:r>
              <w:rPr>
                <w:rFonts w:hint="default" w:ascii="Times New Roman" w:hAnsi="Times New Roman" w:eastAsia="楷体" w:cs="Times New Roman"/>
                <w:b/>
                <w:bCs/>
                <w:i w:val="0"/>
                <w:iCs w:val="0"/>
                <w:color w:val="000000"/>
                <w:kern w:val="0"/>
                <w:sz w:val="18"/>
                <w:szCs w:val="18"/>
                <w:u w:val="none"/>
                <w:lang w:val="en-US" w:eastAsia="zh-CN" w:bidi="ar"/>
              </w:rPr>
              <w:t>UK_index_Open</w:t>
            </w:r>
          </w:p>
        </w:tc>
        <w:tc>
          <w:tcPr>
            <w:tcW w:w="714" w:type="dxa"/>
            <w:tcBorders>
              <w:top w:val="nil"/>
              <w:left w:val="nil"/>
              <w:bottom w:val="nil"/>
              <w:right w:val="nil"/>
            </w:tcBorders>
            <w:shd w:val="clear" w:color="auto" w:fill="auto"/>
            <w:noWrap/>
            <w:vAlign w:val="center"/>
          </w:tcPr>
          <w:p w14:paraId="28BEE6FD">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4D7891A8">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-4.46</w:t>
            </w:r>
          </w:p>
        </w:tc>
        <w:tc>
          <w:tcPr>
            <w:tcW w:w="912" w:type="dxa"/>
            <w:tcBorders>
              <w:top w:val="nil"/>
              <w:left w:val="nil"/>
              <w:bottom w:val="nil"/>
              <w:right w:val="nil"/>
            </w:tcBorders>
            <w:shd w:val="clear" w:color="auto" w:fill="auto"/>
            <w:noWrap/>
            <w:vAlign w:val="center"/>
          </w:tcPr>
          <w:p w14:paraId="03AAF09E">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1143.05</w:t>
            </w:r>
          </w:p>
        </w:tc>
        <w:tc>
          <w:tcPr>
            <w:tcW w:w="1105" w:type="dxa"/>
            <w:tcBorders>
              <w:top w:val="nil"/>
              <w:left w:val="nil"/>
              <w:bottom w:val="nil"/>
              <w:right w:val="nil"/>
            </w:tcBorders>
            <w:shd w:val="clear" w:color="auto" w:fill="auto"/>
            <w:noWrap/>
            <w:vAlign w:val="center"/>
          </w:tcPr>
          <w:p w14:paraId="5AAF52BE">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-11512.43</w:t>
            </w:r>
          </w:p>
        </w:tc>
        <w:tc>
          <w:tcPr>
            <w:tcW w:w="989" w:type="dxa"/>
            <w:tcBorders>
              <w:top w:val="nil"/>
              <w:left w:val="nil"/>
              <w:bottom w:val="nil"/>
              <w:right w:val="nil"/>
            </w:tcBorders>
            <w:shd w:val="clear" w:color="auto" w:fill="auto"/>
            <w:noWrap/>
            <w:vAlign w:val="center"/>
          </w:tcPr>
          <w:p w14:paraId="1B1B6301">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-490.55</w:t>
            </w:r>
          </w:p>
        </w:tc>
        <w:tc>
          <w:tcPr>
            <w:tcW w:w="758" w:type="dxa"/>
            <w:tcBorders>
              <w:top w:val="nil"/>
              <w:left w:val="nil"/>
              <w:bottom w:val="nil"/>
              <w:right w:val="nil"/>
            </w:tcBorders>
            <w:shd w:val="clear" w:color="auto" w:fill="auto"/>
            <w:noWrap/>
            <w:vAlign w:val="center"/>
          </w:tcPr>
          <w:p w14:paraId="61693E3B">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42.69</w:t>
            </w:r>
          </w:p>
        </w:tc>
        <w:tc>
          <w:tcPr>
            <w:tcW w:w="913" w:type="dxa"/>
            <w:tcBorders>
              <w:top w:val="nil"/>
              <w:left w:val="nil"/>
              <w:bottom w:val="nil"/>
              <w:right w:val="nil"/>
            </w:tcBorders>
            <w:shd w:val="clear" w:color="auto" w:fill="auto"/>
            <w:noWrap/>
            <w:vAlign w:val="center"/>
          </w:tcPr>
          <w:p w14:paraId="35BB8AFC">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561.80</w:t>
            </w:r>
          </w:p>
        </w:tc>
        <w:tc>
          <w:tcPr>
            <w:tcW w:w="1029" w:type="dxa"/>
            <w:tcBorders>
              <w:top w:val="nil"/>
              <w:left w:val="nil"/>
              <w:bottom w:val="nil"/>
              <w:right w:val="nil"/>
            </w:tcBorders>
            <w:shd w:val="clear" w:color="auto" w:fill="auto"/>
            <w:noWrap/>
            <w:vAlign w:val="center"/>
          </w:tcPr>
          <w:p w14:paraId="636B1D10">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8666.81</w:t>
            </w:r>
          </w:p>
        </w:tc>
      </w:tr>
      <w:tr w14:paraId="75281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33D28ACB">
            <w:pPr>
              <w:keepNext w:val="0"/>
              <w:keepLines w:val="0"/>
              <w:widowControl/>
              <w:suppressLineNumbers w:val="0"/>
              <w:snapToGrid w:val="0"/>
              <w:jc w:val="center"/>
              <w:textAlignment w:val="top"/>
              <w:rPr>
                <w:rFonts w:hint="default" w:ascii="Times New Roman" w:hAnsi="Times New Roman" w:eastAsia="楷体" w:cs="Times New Roman"/>
                <w:b/>
                <w:bCs/>
                <w:i w:val="0"/>
                <w:iCs w:val="0"/>
                <w:color w:val="000000"/>
                <w:kern w:val="0"/>
                <w:sz w:val="18"/>
                <w:szCs w:val="18"/>
                <w:u w:val="none"/>
                <w:lang w:val="en-US" w:eastAsia="zh-CN" w:bidi="ar"/>
              </w:rPr>
            </w:pPr>
            <w:r>
              <w:rPr>
                <w:rFonts w:hint="default" w:ascii="Times New Roman" w:hAnsi="Times New Roman" w:eastAsia="楷体" w:cs="Times New Roman"/>
                <w:b/>
                <w:bCs/>
                <w:i w:val="0"/>
                <w:iCs w:val="0"/>
                <w:color w:val="000000"/>
                <w:kern w:val="0"/>
                <w:sz w:val="18"/>
                <w:szCs w:val="18"/>
                <w:u w:val="none"/>
                <w:lang w:val="en-US" w:eastAsia="zh-CN" w:bidi="ar"/>
              </w:rPr>
              <w:t>JP_index_Open</w:t>
            </w:r>
          </w:p>
        </w:tc>
        <w:tc>
          <w:tcPr>
            <w:tcW w:w="714" w:type="dxa"/>
            <w:tcBorders>
              <w:top w:val="nil"/>
              <w:left w:val="nil"/>
              <w:bottom w:val="nil"/>
              <w:right w:val="nil"/>
            </w:tcBorders>
            <w:shd w:val="clear" w:color="auto" w:fill="auto"/>
            <w:noWrap/>
            <w:vAlign w:val="center"/>
          </w:tcPr>
          <w:p w14:paraId="6E8BBF91">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7B432A69">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5.01</w:t>
            </w:r>
          </w:p>
        </w:tc>
        <w:tc>
          <w:tcPr>
            <w:tcW w:w="912" w:type="dxa"/>
            <w:tcBorders>
              <w:top w:val="nil"/>
              <w:left w:val="nil"/>
              <w:bottom w:val="nil"/>
              <w:right w:val="nil"/>
            </w:tcBorders>
            <w:shd w:val="clear" w:color="auto" w:fill="auto"/>
            <w:noWrap/>
            <w:vAlign w:val="center"/>
          </w:tcPr>
          <w:p w14:paraId="1B430DCA">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1314.71</w:t>
            </w:r>
          </w:p>
        </w:tc>
        <w:tc>
          <w:tcPr>
            <w:tcW w:w="1105" w:type="dxa"/>
            <w:tcBorders>
              <w:top w:val="nil"/>
              <w:left w:val="nil"/>
              <w:bottom w:val="nil"/>
              <w:right w:val="nil"/>
            </w:tcBorders>
            <w:shd w:val="clear" w:color="auto" w:fill="auto"/>
            <w:noWrap/>
            <w:vAlign w:val="center"/>
          </w:tcPr>
          <w:p w14:paraId="1E4EF3B4">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-10318.81</w:t>
            </w:r>
          </w:p>
        </w:tc>
        <w:tc>
          <w:tcPr>
            <w:tcW w:w="989" w:type="dxa"/>
            <w:tcBorders>
              <w:top w:val="nil"/>
              <w:left w:val="nil"/>
              <w:bottom w:val="nil"/>
              <w:right w:val="nil"/>
            </w:tcBorders>
            <w:shd w:val="clear" w:color="auto" w:fill="auto"/>
            <w:noWrap/>
            <w:vAlign w:val="center"/>
          </w:tcPr>
          <w:p w14:paraId="6E6F9A57">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-686.80</w:t>
            </w:r>
          </w:p>
        </w:tc>
        <w:tc>
          <w:tcPr>
            <w:tcW w:w="758" w:type="dxa"/>
            <w:tcBorders>
              <w:top w:val="nil"/>
              <w:left w:val="nil"/>
              <w:bottom w:val="nil"/>
              <w:right w:val="nil"/>
            </w:tcBorders>
            <w:shd w:val="clear" w:color="auto" w:fill="auto"/>
            <w:noWrap/>
            <w:vAlign w:val="center"/>
          </w:tcPr>
          <w:p w14:paraId="383DC156">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8.55</w:t>
            </w:r>
          </w:p>
        </w:tc>
        <w:tc>
          <w:tcPr>
            <w:tcW w:w="913" w:type="dxa"/>
            <w:tcBorders>
              <w:top w:val="nil"/>
              <w:left w:val="nil"/>
              <w:bottom w:val="nil"/>
              <w:right w:val="nil"/>
            </w:tcBorders>
            <w:shd w:val="clear" w:color="auto" w:fill="auto"/>
            <w:noWrap/>
            <w:vAlign w:val="center"/>
          </w:tcPr>
          <w:p w14:paraId="3FCCB59C">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734.83</w:t>
            </w:r>
          </w:p>
        </w:tc>
        <w:tc>
          <w:tcPr>
            <w:tcW w:w="1029" w:type="dxa"/>
            <w:tcBorders>
              <w:top w:val="nil"/>
              <w:left w:val="nil"/>
              <w:bottom w:val="nil"/>
              <w:right w:val="nil"/>
            </w:tcBorders>
            <w:shd w:val="clear" w:color="auto" w:fill="auto"/>
            <w:noWrap/>
            <w:vAlign w:val="center"/>
          </w:tcPr>
          <w:p w14:paraId="21ADF168">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11052.20</w:t>
            </w:r>
          </w:p>
        </w:tc>
      </w:tr>
      <w:tr w14:paraId="42B83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single" w:color="auto" w:sz="12" w:space="0"/>
              <w:right w:val="nil"/>
            </w:tcBorders>
            <w:shd w:val="clear" w:color="auto" w:fill="auto"/>
            <w:noWrap/>
            <w:vAlign w:val="center"/>
          </w:tcPr>
          <w:p w14:paraId="6D69B350">
            <w:pPr>
              <w:keepNext w:val="0"/>
              <w:keepLines w:val="0"/>
              <w:widowControl/>
              <w:suppressLineNumbers w:val="0"/>
              <w:snapToGrid w:val="0"/>
              <w:jc w:val="center"/>
              <w:textAlignment w:val="top"/>
              <w:rPr>
                <w:rFonts w:hint="default" w:ascii="Times New Roman" w:hAnsi="Times New Roman" w:eastAsia="楷体" w:cs="Times New Roman"/>
                <w:b/>
                <w:bCs/>
                <w:i w:val="0"/>
                <w:iCs w:val="0"/>
                <w:color w:val="000000"/>
                <w:kern w:val="0"/>
                <w:sz w:val="18"/>
                <w:szCs w:val="18"/>
                <w:u w:val="none"/>
                <w:lang w:val="en-US" w:eastAsia="zh-CN" w:bidi="ar"/>
              </w:rPr>
            </w:pPr>
            <w:r>
              <w:rPr>
                <w:rFonts w:hint="default" w:ascii="Times New Roman" w:hAnsi="Times New Roman" w:eastAsia="楷体" w:cs="Times New Roman"/>
                <w:b/>
                <w:bCs/>
                <w:i w:val="0"/>
                <w:iCs w:val="0"/>
                <w:color w:val="000000"/>
                <w:kern w:val="0"/>
                <w:sz w:val="18"/>
                <w:szCs w:val="18"/>
                <w:u w:val="none"/>
                <w:lang w:val="en-US" w:eastAsia="zh-CN" w:bidi="ar"/>
              </w:rPr>
              <w:t>GER_index_Open</w:t>
            </w:r>
          </w:p>
        </w:tc>
        <w:tc>
          <w:tcPr>
            <w:tcW w:w="714" w:type="dxa"/>
            <w:tcBorders>
              <w:top w:val="nil"/>
              <w:left w:val="nil"/>
              <w:bottom w:val="single" w:color="auto" w:sz="12" w:space="0"/>
              <w:right w:val="nil"/>
            </w:tcBorders>
            <w:shd w:val="clear" w:color="auto" w:fill="auto"/>
            <w:noWrap/>
            <w:vAlign w:val="center"/>
          </w:tcPr>
          <w:p w14:paraId="7BE2EF11">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single" w:color="auto" w:sz="12" w:space="0"/>
              <w:right w:val="nil"/>
            </w:tcBorders>
            <w:shd w:val="clear" w:color="auto" w:fill="auto"/>
            <w:noWrap/>
            <w:vAlign w:val="center"/>
          </w:tcPr>
          <w:p w14:paraId="47F65380">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33.35</w:t>
            </w:r>
          </w:p>
        </w:tc>
        <w:tc>
          <w:tcPr>
            <w:tcW w:w="912" w:type="dxa"/>
            <w:tcBorders>
              <w:top w:val="nil"/>
              <w:left w:val="nil"/>
              <w:bottom w:val="single" w:color="auto" w:sz="12" w:space="0"/>
              <w:right w:val="nil"/>
            </w:tcBorders>
            <w:shd w:val="clear" w:color="auto" w:fill="auto"/>
            <w:noWrap/>
            <w:vAlign w:val="center"/>
          </w:tcPr>
          <w:p w14:paraId="200B246B">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1305.93</w:t>
            </w:r>
          </w:p>
        </w:tc>
        <w:tc>
          <w:tcPr>
            <w:tcW w:w="1105" w:type="dxa"/>
            <w:tcBorders>
              <w:top w:val="nil"/>
              <w:left w:val="nil"/>
              <w:bottom w:val="single" w:color="auto" w:sz="12" w:space="0"/>
              <w:right w:val="nil"/>
            </w:tcBorders>
            <w:shd w:val="clear" w:color="auto" w:fill="auto"/>
            <w:noWrap/>
            <w:vAlign w:val="center"/>
          </w:tcPr>
          <w:p w14:paraId="21AF48B9">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-10380.90</w:t>
            </w:r>
          </w:p>
        </w:tc>
        <w:tc>
          <w:tcPr>
            <w:tcW w:w="989" w:type="dxa"/>
            <w:tcBorders>
              <w:top w:val="nil"/>
              <w:left w:val="nil"/>
              <w:bottom w:val="single" w:color="auto" w:sz="12" w:space="0"/>
              <w:right w:val="nil"/>
            </w:tcBorders>
            <w:shd w:val="clear" w:color="auto" w:fill="auto"/>
            <w:noWrap/>
            <w:vAlign w:val="center"/>
          </w:tcPr>
          <w:p w14:paraId="59A8AA35">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-571.91</w:t>
            </w:r>
          </w:p>
        </w:tc>
        <w:tc>
          <w:tcPr>
            <w:tcW w:w="758" w:type="dxa"/>
            <w:tcBorders>
              <w:top w:val="nil"/>
              <w:left w:val="nil"/>
              <w:bottom w:val="single" w:color="auto" w:sz="12" w:space="0"/>
              <w:right w:val="nil"/>
            </w:tcBorders>
            <w:shd w:val="clear" w:color="auto" w:fill="auto"/>
            <w:noWrap/>
            <w:vAlign w:val="center"/>
          </w:tcPr>
          <w:p w14:paraId="26EC297F">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83.90</w:t>
            </w:r>
          </w:p>
        </w:tc>
        <w:tc>
          <w:tcPr>
            <w:tcW w:w="913" w:type="dxa"/>
            <w:tcBorders>
              <w:top w:val="nil"/>
              <w:left w:val="nil"/>
              <w:bottom w:val="single" w:color="auto" w:sz="12" w:space="0"/>
              <w:right w:val="nil"/>
            </w:tcBorders>
            <w:shd w:val="clear" w:color="auto" w:fill="auto"/>
            <w:noWrap/>
            <w:vAlign w:val="center"/>
          </w:tcPr>
          <w:p w14:paraId="75CDF6A4">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708.36</w:t>
            </w:r>
          </w:p>
        </w:tc>
        <w:tc>
          <w:tcPr>
            <w:tcW w:w="1029" w:type="dxa"/>
            <w:tcBorders>
              <w:top w:val="nil"/>
              <w:left w:val="nil"/>
              <w:bottom w:val="single" w:color="auto" w:sz="12" w:space="0"/>
              <w:right w:val="nil"/>
            </w:tcBorders>
            <w:shd w:val="clear" w:color="auto" w:fill="auto"/>
            <w:noWrap/>
            <w:vAlign w:val="center"/>
          </w:tcPr>
          <w:p w14:paraId="4D115BD7">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9283.15</w:t>
            </w:r>
          </w:p>
        </w:tc>
      </w:tr>
    </w:tbl>
    <w:p w14:paraId="43D85C7D">
      <w:pPr>
        <w:keepNext w:val="0"/>
        <w:keepLines w:val="0"/>
        <w:pageBreakBefore w:val="0"/>
        <w:widowControl w:val="0"/>
        <w:kinsoku/>
        <w:wordWrap/>
        <w:overflowPunct/>
        <w:topLinePunct w:val="0"/>
        <w:autoSpaceDE/>
        <w:autoSpaceDN/>
        <w:bidi w:val="0"/>
        <w:adjustRightInd/>
        <w:snapToGrid/>
        <w:spacing w:beforeAutospacing="0" w:after="240" w:afterAutospacing="0" w:line="240" w:lineRule="auto"/>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lang w:val="en-US" w:eastAsia="zh-CN"/>
        </w:rPr>
        <w:t>注：汇率、大宗商品和市场指数变量均计算收益率，并放大为原数量级的10</w:t>
      </w:r>
      <w:r>
        <w:rPr>
          <w:rFonts w:hint="eastAsia" w:ascii="Times New Roman" w:hAnsi="Times New Roman" w:eastAsia="楷体" w:cs="楷体"/>
          <w:sz w:val="18"/>
          <w:szCs w:val="18"/>
          <w:vertAlign w:val="superscript"/>
          <w:lang w:val="en-US" w:eastAsia="zh-CN"/>
        </w:rPr>
        <w:t>5</w:t>
      </w:r>
      <w:r>
        <w:rPr>
          <w:rFonts w:hint="eastAsia" w:ascii="Times New Roman" w:hAnsi="Times New Roman" w:eastAsia="楷体" w:cs="楷体"/>
          <w:sz w:val="18"/>
          <w:szCs w:val="18"/>
          <w:vertAlign w:val="baseline"/>
          <w:lang w:val="en-US" w:eastAsia="zh-CN"/>
        </w:rPr>
        <w:t>，利率数据单位是百分比，Open代表开盘价、Close代表收盘价.</w:t>
      </w:r>
    </w:p>
    <w:p w14:paraId="7E6DAA80">
      <w:pPr>
        <w:numPr>
          <w:ilvl w:val="0"/>
          <w:numId w:val="1"/>
        </w:numPr>
        <w:spacing w:before="240" w:beforeAutospacing="0" w:after="240" w:afterAutospacing="0"/>
        <w:rPr>
          <w:rFonts w:ascii="Times New Roman" w:hAnsi="Times New Roman" w:eastAsia="楷体" w:cs="楷体"/>
          <w:sz w:val="22"/>
          <w:szCs w:val="22"/>
          <w:lang w:eastAsia="zh-CN"/>
        </w:rPr>
      </w:pPr>
      <w:r>
        <w:rPr>
          <w:rFonts w:ascii="Times New Roman" w:hAnsi="Times New Roman" w:eastAsia="楷体" w:cs="楷体"/>
          <w:b/>
          <w:bCs/>
          <w:sz w:val="22"/>
          <w:szCs w:val="22"/>
          <w:lang w:eastAsia="zh-CN"/>
        </w:rPr>
        <w:t>实证结果</w:t>
      </w:r>
      <w:r>
        <w:rPr>
          <w:rFonts w:ascii="Times New Roman" w:hAnsi="Times New Roman" w:eastAsia="楷体"/>
        </w:rPr>
        <w:br w:type="textWrapping"/>
      </w:r>
      <w:r>
        <w:rPr>
          <w:rFonts w:hint="eastAsia" w:ascii="Times New Roman" w:hAnsi="Times New Roman" w:eastAsia="楷体"/>
          <w:lang w:val="en-US" w:eastAsia="zh-CN"/>
        </w:rPr>
        <w:tab/>
      </w:r>
      <w:r>
        <w:rPr>
          <w:rFonts w:ascii="Times New Roman" w:hAnsi="Times New Roman" w:eastAsia="楷体" w:cs="楷体"/>
          <w:sz w:val="22"/>
          <w:szCs w:val="22"/>
          <w:lang w:eastAsia="zh-CN"/>
        </w:rPr>
        <w:t>表2比较了各模型在测试集上的预测表现。整体来看，多数模型的样本外 R² 为负值，表明其预测误差并未优于</w:t>
      </w:r>
      <w:r>
        <w:rPr>
          <w:rFonts w:hint="eastAsia" w:ascii="Times New Roman" w:hAnsi="Times New Roman" w:eastAsia="楷体" w:cs="楷体"/>
          <w:sz w:val="22"/>
          <w:szCs w:val="22"/>
          <w:lang w:val="en-US" w:eastAsia="zh-CN"/>
        </w:rPr>
        <w:t>均值</w:t>
      </w:r>
      <w:r>
        <w:rPr>
          <w:rFonts w:ascii="Times New Roman" w:hAnsi="Times New Roman" w:eastAsia="楷体" w:cs="楷体"/>
          <w:sz w:val="22"/>
          <w:szCs w:val="22"/>
          <w:lang w:eastAsia="zh-CN"/>
        </w:rPr>
        <w:t>基准。值得注意的是，Ridge回归在测试集上取得了约0.2%的正向 R²，说明在信号极弱且分散的情形下，L2正则化通过温和收缩系数仍能保留少量可预测成分</w:t>
      </w:r>
      <w:r>
        <w:rPr>
          <w:rFonts w:hint="eastAsia" w:ascii="Times New Roman" w:hAnsi="Times New Roman" w:eastAsia="楷体" w:cs="楷体"/>
          <w:sz w:val="22"/>
          <w:szCs w:val="22"/>
          <w:lang w:eastAsia="zh-CN"/>
        </w:rPr>
        <w:t>。</w:t>
      </w:r>
      <w:r>
        <w:rPr>
          <w:rFonts w:ascii="Times New Roman" w:hAnsi="Times New Roman" w:eastAsia="楷体" w:cs="楷体"/>
          <w:sz w:val="22"/>
          <w:szCs w:val="22"/>
          <w:lang w:eastAsia="zh-CN"/>
        </w:rPr>
        <w:t>图1</w:t>
      </w:r>
      <w:r>
        <w:rPr>
          <w:rFonts w:hint="eastAsia" w:ascii="Times New Roman" w:hAnsi="Times New Roman" w:eastAsia="楷体" w:cs="楷体"/>
          <w:sz w:val="22"/>
          <w:szCs w:val="22"/>
          <w:lang w:val="en-US" w:eastAsia="zh-CN"/>
        </w:rPr>
        <w:t>展示</w:t>
      </w:r>
      <w:r>
        <w:rPr>
          <w:rFonts w:ascii="Times New Roman" w:hAnsi="Times New Roman" w:eastAsia="楷体" w:cs="楷体"/>
          <w:sz w:val="22"/>
          <w:szCs w:val="22"/>
          <w:lang w:eastAsia="zh-CN"/>
        </w:rPr>
        <w:t>了</w:t>
      </w:r>
      <w:r>
        <w:rPr>
          <w:rFonts w:hint="eastAsia" w:ascii="Times New Roman" w:hAnsi="Times New Roman" w:eastAsia="楷体" w:cs="楷体"/>
          <w:sz w:val="22"/>
          <w:szCs w:val="22"/>
          <w:lang w:val="en-US" w:eastAsia="zh-CN"/>
        </w:rPr>
        <w:t>Ridge回归</w:t>
      </w:r>
      <w:r>
        <w:rPr>
          <w:rFonts w:ascii="Times New Roman" w:hAnsi="Times New Roman" w:eastAsia="楷体" w:cs="楷体"/>
          <w:sz w:val="22"/>
          <w:szCs w:val="22"/>
          <w:lang w:eastAsia="zh-CN"/>
        </w:rPr>
        <w:t>模型的预测曲线</w:t>
      </w:r>
      <w:r>
        <w:rPr>
          <w:rFonts w:hint="eastAsia" w:ascii="Times New Roman" w:hAnsi="Times New Roman" w:eastAsia="楷体" w:cs="楷体"/>
          <w:sz w:val="22"/>
          <w:szCs w:val="22"/>
          <w:lang w:eastAsia="zh-CN"/>
        </w:rPr>
        <w:t>。</w:t>
      </w:r>
    </w:p>
    <w:p w14:paraId="229B2054">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279" w:lineRule="auto"/>
        <w:jc w:val="center"/>
        <w:textAlignment w:val="auto"/>
        <w:rPr>
          <w:rFonts w:hint="eastAsia" w:ascii="Times New Roman" w:hAnsi="Times New Roman" w:eastAsia="楷体" w:cs="楷体"/>
          <w:sz w:val="22"/>
          <w:szCs w:val="22"/>
          <w:lang w:val="en-US" w:eastAsia="zh-CN"/>
        </w:rPr>
      </w:pPr>
      <w:r>
        <w:rPr>
          <w:rFonts w:hint="eastAsia" w:ascii="Times New Roman" w:hAnsi="Times New Roman" w:eastAsia="楷体" w:cs="楷体"/>
          <w:sz w:val="22"/>
          <w:szCs w:val="22"/>
          <w:lang w:val="en-US" w:eastAsia="zh-CN"/>
        </w:rPr>
        <w:t xml:space="preserve">表2 </w:t>
      </w:r>
      <w:r>
        <w:rPr>
          <w:rFonts w:ascii="Times New Roman" w:hAnsi="Times New Roman" w:eastAsia="楷体" w:cs="楷体"/>
          <w:sz w:val="22"/>
          <w:szCs w:val="22"/>
          <w:lang w:eastAsia="zh-CN"/>
        </w:rPr>
        <w:t>各模型</w:t>
      </w:r>
      <w:r>
        <w:rPr>
          <w:rFonts w:hint="eastAsia" w:ascii="Times New Roman" w:hAnsi="Times New Roman" w:eastAsia="楷体" w:cs="楷体"/>
          <w:sz w:val="22"/>
          <w:szCs w:val="22"/>
          <w:lang w:val="en-US" w:eastAsia="zh-CN"/>
        </w:rPr>
        <w:t>的样本外</w:t>
      </w:r>
      <w:r>
        <w:rPr>
          <w:rFonts w:ascii="Times New Roman" w:hAnsi="Times New Roman" w:eastAsia="楷体" w:cs="楷体"/>
          <w:sz w:val="22"/>
          <w:szCs w:val="22"/>
          <w:lang w:eastAsia="zh-CN"/>
        </w:rPr>
        <w:t>表现</w:t>
      </w:r>
    </w:p>
    <w:tbl>
      <w:tblPr>
        <w:tblStyle w:val="16"/>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6" w:type="dxa"/>
          <w:left w:w="96" w:type="dxa"/>
          <w:bottom w:w="56" w:type="dxa"/>
          <w:right w:w="96" w:type="dxa"/>
        </w:tblCellMar>
      </w:tblPr>
      <w:tblGrid>
        <w:gridCol w:w="3925"/>
        <w:gridCol w:w="1865"/>
        <w:gridCol w:w="2172"/>
        <w:gridCol w:w="1249"/>
      </w:tblGrid>
      <w:tr w14:paraId="0665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332" w:hRule="exact"/>
          <w:tblHeader/>
          <w:jc w:val="center"/>
        </w:trPr>
        <w:tc>
          <w:tcPr>
            <w:tcW w:w="2130" w:type="pct"/>
            <w:vMerge w:val="restart"/>
            <w:tcBorders>
              <w:top w:val="single" w:color="auto" w:sz="12" w:space="0"/>
              <w:left w:val="nil"/>
              <w:right w:val="nil"/>
            </w:tcBorders>
            <w:vAlign w:val="center"/>
          </w:tcPr>
          <w:p w14:paraId="5A33F122">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79" w:lineRule="auto"/>
              <w:jc w:val="center"/>
              <w:textAlignment w:val="auto"/>
              <w:rPr>
                <w:rFonts w:hint="default" w:ascii="Times New Roman" w:hAnsi="Times New Roman" w:eastAsia="楷体" w:cs="楷体"/>
                <w:b/>
                <w:sz w:val="18"/>
                <w:szCs w:val="18"/>
                <w:vertAlign w:val="baseline"/>
                <w:lang w:val="en-US" w:eastAsia="zh-CN"/>
              </w:rPr>
            </w:pPr>
            <w:r>
              <w:rPr>
                <w:rFonts w:hint="eastAsia" w:ascii="Times New Roman" w:hAnsi="Times New Roman" w:eastAsia="楷体" w:cs="楷体"/>
                <w:b/>
                <w:sz w:val="21"/>
                <w:szCs w:val="21"/>
                <w:vertAlign w:val="baseline"/>
                <w:lang w:val="en-US" w:eastAsia="zh-CN"/>
              </w:rPr>
              <w:t>模型名称</w:t>
            </w:r>
          </w:p>
        </w:tc>
        <w:tc>
          <w:tcPr>
            <w:tcW w:w="2869" w:type="pct"/>
            <w:gridSpan w:val="3"/>
            <w:tcBorders>
              <w:top w:val="single" w:color="auto" w:sz="12" w:space="0"/>
              <w:left w:val="nil"/>
              <w:bottom w:val="single" w:color="auto" w:sz="4" w:space="0"/>
              <w:right w:val="nil"/>
            </w:tcBorders>
            <w:vAlign w:val="center"/>
          </w:tcPr>
          <w:p w14:paraId="343EFE3D">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b/>
                <w:sz w:val="18"/>
                <w:szCs w:val="18"/>
                <w:vertAlign w:val="baseline"/>
                <w:lang w:val="en-US" w:eastAsia="zh-CN"/>
              </w:rPr>
            </w:pPr>
            <w:r>
              <w:rPr>
                <w:rFonts w:hint="eastAsia" w:ascii="Times New Roman" w:hAnsi="Times New Roman" w:eastAsia="楷体" w:cs="楷体"/>
                <w:b/>
                <w:sz w:val="21"/>
                <w:szCs w:val="21"/>
                <w:vertAlign w:val="baseline"/>
                <w:lang w:val="en-US" w:eastAsia="zh-CN"/>
              </w:rPr>
              <w:t>评价指标</w:t>
            </w:r>
          </w:p>
        </w:tc>
      </w:tr>
      <w:tr w14:paraId="64032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340" w:hRule="exact"/>
          <w:tblHeader/>
          <w:jc w:val="center"/>
        </w:trPr>
        <w:tc>
          <w:tcPr>
            <w:tcW w:w="2130" w:type="pct"/>
            <w:vMerge w:val="continue"/>
            <w:tcBorders>
              <w:left w:val="nil"/>
              <w:bottom w:val="single" w:color="auto" w:sz="4" w:space="0"/>
              <w:right w:val="nil"/>
            </w:tcBorders>
            <w:vAlign w:val="center"/>
          </w:tcPr>
          <w:p w14:paraId="56AEAF75">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79" w:lineRule="auto"/>
              <w:jc w:val="center"/>
              <w:textAlignment w:val="auto"/>
              <w:rPr>
                <w:rFonts w:hint="default" w:ascii="Times New Roman" w:hAnsi="Times New Roman" w:eastAsia="楷体" w:cs="楷体"/>
                <w:b/>
                <w:sz w:val="18"/>
                <w:szCs w:val="18"/>
                <w:vertAlign w:val="baseline"/>
                <w:lang w:val="en-US" w:eastAsia="zh-CN"/>
              </w:rPr>
            </w:pPr>
          </w:p>
        </w:tc>
        <w:tc>
          <w:tcPr>
            <w:tcW w:w="1012" w:type="pct"/>
            <w:tcBorders>
              <w:top w:val="single" w:color="auto" w:sz="4" w:space="0"/>
              <w:left w:val="nil"/>
              <w:bottom w:val="single" w:color="auto" w:sz="4" w:space="0"/>
              <w:right w:val="nil"/>
            </w:tcBorders>
            <w:vAlign w:val="center"/>
          </w:tcPr>
          <w:p w14:paraId="2AA86A53">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79" w:lineRule="auto"/>
              <w:jc w:val="center"/>
              <w:textAlignment w:val="auto"/>
              <w:rPr>
                <w:rFonts w:hint="default" w:ascii="Times New Roman" w:hAnsi="Times New Roman" w:eastAsia="楷体" w:cs="楷体"/>
                <w:b/>
                <w:sz w:val="18"/>
                <w:szCs w:val="18"/>
                <w:vertAlign w:val="baseline"/>
                <w:lang w:val="en-US" w:eastAsia="zh-CN"/>
              </w:rPr>
            </w:pPr>
            <w:r>
              <w:rPr>
                <w:rFonts w:hint="eastAsia" w:ascii="Times New Roman" w:hAnsi="Times New Roman" w:eastAsia="楷体" w:cs="楷体"/>
                <w:b/>
                <w:sz w:val="18"/>
                <w:szCs w:val="18"/>
                <w:vertAlign w:val="baseline"/>
                <w:lang w:val="en-US" w:eastAsia="zh-CN"/>
              </w:rPr>
              <w:t>MAE</w:t>
            </w:r>
          </w:p>
        </w:tc>
        <w:tc>
          <w:tcPr>
            <w:tcW w:w="1179" w:type="pct"/>
            <w:tcBorders>
              <w:top w:val="single" w:color="auto" w:sz="4" w:space="0"/>
              <w:left w:val="nil"/>
              <w:bottom w:val="single" w:color="auto" w:sz="4" w:space="0"/>
              <w:right w:val="nil"/>
            </w:tcBorders>
            <w:vAlign w:val="center"/>
          </w:tcPr>
          <w:p w14:paraId="6D0657DB">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79" w:lineRule="auto"/>
              <w:jc w:val="center"/>
              <w:textAlignment w:val="auto"/>
              <w:rPr>
                <w:rFonts w:hint="default" w:ascii="Times New Roman" w:hAnsi="Times New Roman" w:eastAsia="楷体" w:cs="楷体"/>
                <w:b/>
                <w:sz w:val="18"/>
                <w:szCs w:val="18"/>
                <w:vertAlign w:val="baseline"/>
                <w:lang w:val="en-US" w:eastAsia="zh-CN"/>
              </w:rPr>
            </w:pPr>
            <w:r>
              <w:rPr>
                <w:rFonts w:hint="eastAsia" w:ascii="Times New Roman" w:hAnsi="Times New Roman" w:eastAsia="楷体" w:cs="楷体"/>
                <w:b/>
                <w:sz w:val="18"/>
                <w:szCs w:val="18"/>
                <w:vertAlign w:val="baseline"/>
                <w:lang w:val="en-US" w:eastAsia="zh-CN"/>
              </w:rPr>
              <w:t>RMSE</w:t>
            </w:r>
          </w:p>
        </w:tc>
        <w:tc>
          <w:tcPr>
            <w:tcW w:w="677" w:type="pct"/>
            <w:tcBorders>
              <w:top w:val="single" w:color="auto" w:sz="4" w:space="0"/>
              <w:left w:val="nil"/>
              <w:bottom w:val="single" w:color="auto" w:sz="4" w:space="0"/>
              <w:right w:val="nil"/>
            </w:tcBorders>
            <w:vAlign w:val="center"/>
          </w:tcPr>
          <w:p w14:paraId="4390DA82">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79" w:lineRule="auto"/>
              <w:jc w:val="center"/>
              <w:textAlignment w:val="auto"/>
              <w:rPr>
                <w:rFonts w:hint="default" w:ascii="Times New Roman" w:hAnsi="Times New Roman" w:eastAsia="楷体" w:cs="楷体"/>
                <w:b/>
                <w:sz w:val="18"/>
                <w:szCs w:val="18"/>
                <w:vertAlign w:val="superscript"/>
                <w:lang w:val="en-US" w:eastAsia="zh-CN"/>
              </w:rPr>
            </w:pPr>
            <w:r>
              <w:rPr>
                <w:rFonts w:hint="eastAsia" w:ascii="Times New Roman" w:hAnsi="Times New Roman" w:eastAsia="楷体" w:cs="楷体"/>
                <w:b/>
                <w:sz w:val="18"/>
                <w:szCs w:val="18"/>
                <w:vertAlign w:val="baseline"/>
                <w:lang w:val="en-US" w:eastAsia="zh-CN"/>
              </w:rPr>
              <w:t>R</w:t>
            </w:r>
            <w:r>
              <w:rPr>
                <w:rFonts w:hint="eastAsia" w:ascii="Times New Roman" w:hAnsi="Times New Roman" w:eastAsia="楷体" w:cs="楷体"/>
                <w:b/>
                <w:sz w:val="18"/>
                <w:szCs w:val="18"/>
                <w:vertAlign w:val="superscript"/>
                <w:lang w:val="en-US" w:eastAsia="zh-CN"/>
              </w:rPr>
              <w:t>2</w:t>
            </w:r>
          </w:p>
        </w:tc>
      </w:tr>
      <w:tr w14:paraId="42BD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363" w:hRule="exact"/>
          <w:jc w:val="center"/>
        </w:trPr>
        <w:tc>
          <w:tcPr>
            <w:tcW w:w="2130" w:type="pct"/>
            <w:tcBorders>
              <w:top w:val="single" w:color="auto" w:sz="4" w:space="0"/>
              <w:left w:val="nil"/>
              <w:bottom w:val="nil"/>
              <w:right w:val="nil"/>
            </w:tcBorders>
            <w:vAlign w:val="center"/>
          </w:tcPr>
          <w:p w14:paraId="7C1A6505">
            <w:pPr>
              <w:widowControl w:val="0"/>
              <w:numPr>
                <w:ilvl w:val="0"/>
                <w:numId w:val="0"/>
              </w:numPr>
              <w:snapToGrid w:val="0"/>
              <w:spacing w:beforeAutospacing="0" w:after="0" w:afterAutospacing="0" w:line="240" w:lineRule="auto"/>
              <w:jc w:val="center"/>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LASSO</w:t>
            </w:r>
          </w:p>
        </w:tc>
        <w:tc>
          <w:tcPr>
            <w:tcW w:w="1012" w:type="pct"/>
            <w:tcBorders>
              <w:top w:val="single" w:color="auto" w:sz="4" w:space="0"/>
              <w:left w:val="nil"/>
              <w:bottom w:val="nil"/>
              <w:right w:val="nil"/>
            </w:tcBorders>
            <w:vAlign w:val="center"/>
          </w:tcPr>
          <w:p w14:paraId="2A5A7D4D">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79"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34.63</w:t>
            </w:r>
          </w:p>
        </w:tc>
        <w:tc>
          <w:tcPr>
            <w:tcW w:w="1179" w:type="pct"/>
            <w:tcBorders>
              <w:top w:val="single" w:color="auto" w:sz="4" w:space="0"/>
              <w:left w:val="nil"/>
              <w:bottom w:val="nil"/>
              <w:right w:val="nil"/>
            </w:tcBorders>
            <w:vAlign w:val="center"/>
          </w:tcPr>
          <w:p w14:paraId="793291D5">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79"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46.01</w:t>
            </w:r>
          </w:p>
        </w:tc>
        <w:tc>
          <w:tcPr>
            <w:tcW w:w="677" w:type="pct"/>
            <w:tcBorders>
              <w:top w:val="single" w:color="auto" w:sz="4" w:space="0"/>
              <w:left w:val="nil"/>
              <w:bottom w:val="nil"/>
              <w:right w:val="nil"/>
            </w:tcBorders>
            <w:vAlign w:val="center"/>
          </w:tcPr>
          <w:p w14:paraId="377DFECA">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79"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-0.0235</w:t>
            </w:r>
          </w:p>
        </w:tc>
      </w:tr>
      <w:tr w14:paraId="7C37E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363" w:hRule="exact"/>
          <w:jc w:val="center"/>
        </w:trPr>
        <w:tc>
          <w:tcPr>
            <w:tcW w:w="2130" w:type="pct"/>
            <w:tcBorders>
              <w:top w:val="nil"/>
              <w:left w:val="nil"/>
              <w:bottom w:val="nil"/>
              <w:right w:val="nil"/>
            </w:tcBorders>
            <w:vAlign w:val="center"/>
          </w:tcPr>
          <w:p w14:paraId="61CC131B">
            <w:pPr>
              <w:widowControl w:val="0"/>
              <w:numPr>
                <w:ilvl w:val="0"/>
                <w:numId w:val="0"/>
              </w:numPr>
              <w:snapToGrid w:val="0"/>
              <w:spacing w:beforeAutospacing="0" w:after="0" w:afterAutospacing="0" w:line="240" w:lineRule="auto"/>
              <w:jc w:val="center"/>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RIDGE</w:t>
            </w:r>
          </w:p>
        </w:tc>
        <w:tc>
          <w:tcPr>
            <w:tcW w:w="1012" w:type="pct"/>
            <w:tcBorders>
              <w:top w:val="nil"/>
              <w:left w:val="nil"/>
              <w:bottom w:val="nil"/>
              <w:right w:val="nil"/>
            </w:tcBorders>
            <w:vAlign w:val="center"/>
          </w:tcPr>
          <w:p w14:paraId="7897FEAA">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34.46</w:t>
            </w:r>
          </w:p>
        </w:tc>
        <w:tc>
          <w:tcPr>
            <w:tcW w:w="1179" w:type="pct"/>
            <w:tcBorders>
              <w:top w:val="nil"/>
              <w:left w:val="nil"/>
              <w:bottom w:val="nil"/>
              <w:right w:val="nil"/>
            </w:tcBorders>
            <w:vAlign w:val="center"/>
          </w:tcPr>
          <w:p w14:paraId="78A52AC0">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45.95</w:t>
            </w:r>
          </w:p>
        </w:tc>
        <w:tc>
          <w:tcPr>
            <w:tcW w:w="677" w:type="pct"/>
            <w:tcBorders>
              <w:top w:val="nil"/>
              <w:left w:val="nil"/>
              <w:bottom w:val="nil"/>
              <w:right w:val="nil"/>
            </w:tcBorders>
            <w:vAlign w:val="center"/>
          </w:tcPr>
          <w:p w14:paraId="56018198">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0.2442</w:t>
            </w:r>
          </w:p>
        </w:tc>
      </w:tr>
      <w:tr w14:paraId="4D938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363" w:hRule="exact"/>
          <w:jc w:val="center"/>
        </w:trPr>
        <w:tc>
          <w:tcPr>
            <w:tcW w:w="2130" w:type="pct"/>
            <w:tcBorders>
              <w:top w:val="nil"/>
              <w:left w:val="nil"/>
              <w:bottom w:val="nil"/>
              <w:right w:val="nil"/>
            </w:tcBorders>
            <w:vAlign w:val="center"/>
          </w:tcPr>
          <w:p w14:paraId="0985BB8D">
            <w:pPr>
              <w:widowControl w:val="0"/>
              <w:numPr>
                <w:ilvl w:val="0"/>
                <w:numId w:val="0"/>
              </w:numPr>
              <w:snapToGrid w:val="0"/>
              <w:spacing w:beforeAutospacing="0" w:after="0" w:afterAutospacing="0" w:line="240" w:lineRule="auto"/>
              <w:jc w:val="center"/>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Random Forest</w:t>
            </w:r>
          </w:p>
        </w:tc>
        <w:tc>
          <w:tcPr>
            <w:tcW w:w="1012" w:type="pct"/>
            <w:tcBorders>
              <w:top w:val="nil"/>
              <w:left w:val="nil"/>
              <w:bottom w:val="nil"/>
              <w:right w:val="nil"/>
            </w:tcBorders>
            <w:vAlign w:val="center"/>
          </w:tcPr>
          <w:p w14:paraId="11EEC5BD">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35.82</w:t>
            </w:r>
          </w:p>
        </w:tc>
        <w:tc>
          <w:tcPr>
            <w:tcW w:w="1179" w:type="pct"/>
            <w:tcBorders>
              <w:top w:val="nil"/>
              <w:left w:val="nil"/>
              <w:bottom w:val="nil"/>
              <w:right w:val="nil"/>
            </w:tcBorders>
            <w:vAlign w:val="center"/>
          </w:tcPr>
          <w:p w14:paraId="2658D837">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47.47</w:t>
            </w:r>
          </w:p>
        </w:tc>
        <w:tc>
          <w:tcPr>
            <w:tcW w:w="677" w:type="pct"/>
            <w:tcBorders>
              <w:top w:val="nil"/>
              <w:left w:val="nil"/>
              <w:bottom w:val="nil"/>
              <w:right w:val="nil"/>
            </w:tcBorders>
            <w:vAlign w:val="center"/>
          </w:tcPr>
          <w:p w14:paraId="0ABB778F">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-6.4831</w:t>
            </w:r>
          </w:p>
        </w:tc>
      </w:tr>
      <w:tr w14:paraId="62C6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363" w:hRule="exact"/>
          <w:jc w:val="center"/>
        </w:trPr>
        <w:tc>
          <w:tcPr>
            <w:tcW w:w="2130" w:type="pct"/>
            <w:tcBorders>
              <w:top w:val="nil"/>
              <w:left w:val="nil"/>
              <w:bottom w:val="nil"/>
              <w:right w:val="nil"/>
            </w:tcBorders>
            <w:vAlign w:val="center"/>
          </w:tcPr>
          <w:p w14:paraId="35792CED">
            <w:pPr>
              <w:widowControl w:val="0"/>
              <w:numPr>
                <w:ilvl w:val="0"/>
                <w:numId w:val="0"/>
              </w:numPr>
              <w:snapToGrid w:val="0"/>
              <w:spacing w:beforeAutospacing="0" w:after="0" w:afterAutospacing="0" w:line="240" w:lineRule="auto"/>
              <w:jc w:val="center"/>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XGBoost</w:t>
            </w:r>
          </w:p>
        </w:tc>
        <w:tc>
          <w:tcPr>
            <w:tcW w:w="1012" w:type="pct"/>
            <w:tcBorders>
              <w:top w:val="nil"/>
              <w:left w:val="nil"/>
              <w:bottom w:val="nil"/>
              <w:right w:val="nil"/>
            </w:tcBorders>
            <w:vAlign w:val="center"/>
          </w:tcPr>
          <w:p w14:paraId="130CC2CB">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34.54</w:t>
            </w:r>
          </w:p>
        </w:tc>
        <w:tc>
          <w:tcPr>
            <w:tcW w:w="1179" w:type="pct"/>
            <w:tcBorders>
              <w:top w:val="nil"/>
              <w:left w:val="nil"/>
              <w:bottom w:val="nil"/>
              <w:right w:val="nil"/>
            </w:tcBorders>
            <w:vAlign w:val="center"/>
          </w:tcPr>
          <w:p w14:paraId="273984ED">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46.34</w:t>
            </w:r>
          </w:p>
        </w:tc>
        <w:tc>
          <w:tcPr>
            <w:tcW w:w="677" w:type="pct"/>
            <w:tcBorders>
              <w:top w:val="nil"/>
              <w:left w:val="nil"/>
              <w:bottom w:val="nil"/>
              <w:right w:val="nil"/>
            </w:tcBorders>
            <w:vAlign w:val="center"/>
          </w:tcPr>
          <w:p w14:paraId="4C570245">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-1.4708</w:t>
            </w:r>
          </w:p>
        </w:tc>
      </w:tr>
      <w:tr w14:paraId="4A15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363" w:hRule="exact"/>
          <w:jc w:val="center"/>
        </w:trPr>
        <w:tc>
          <w:tcPr>
            <w:tcW w:w="2130" w:type="pct"/>
            <w:tcBorders>
              <w:top w:val="nil"/>
              <w:left w:val="nil"/>
              <w:bottom w:val="single" w:color="auto" w:sz="12" w:space="0"/>
              <w:right w:val="nil"/>
            </w:tcBorders>
            <w:vAlign w:val="center"/>
          </w:tcPr>
          <w:p w14:paraId="18B749C4">
            <w:pPr>
              <w:widowControl w:val="0"/>
              <w:numPr>
                <w:ilvl w:val="0"/>
                <w:numId w:val="0"/>
              </w:numPr>
              <w:snapToGrid w:val="0"/>
              <w:spacing w:beforeAutospacing="0" w:after="0" w:afterAutospacing="0" w:line="240" w:lineRule="auto"/>
              <w:jc w:val="center"/>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LSTM</w:t>
            </w:r>
          </w:p>
        </w:tc>
        <w:tc>
          <w:tcPr>
            <w:tcW w:w="1012" w:type="pct"/>
            <w:tcBorders>
              <w:top w:val="nil"/>
              <w:left w:val="nil"/>
              <w:bottom w:val="single" w:color="auto" w:sz="12" w:space="0"/>
              <w:right w:val="nil"/>
            </w:tcBorders>
            <w:vAlign w:val="center"/>
          </w:tcPr>
          <w:p w14:paraId="703AB576">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46.32</w:t>
            </w:r>
          </w:p>
        </w:tc>
        <w:tc>
          <w:tcPr>
            <w:tcW w:w="1179" w:type="pct"/>
            <w:tcBorders>
              <w:top w:val="nil"/>
              <w:left w:val="nil"/>
              <w:bottom w:val="single" w:color="auto" w:sz="12" w:space="0"/>
              <w:right w:val="nil"/>
            </w:tcBorders>
            <w:vAlign w:val="center"/>
          </w:tcPr>
          <w:p w14:paraId="3AEE370B">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34.90</w:t>
            </w:r>
          </w:p>
        </w:tc>
        <w:tc>
          <w:tcPr>
            <w:tcW w:w="677" w:type="pct"/>
            <w:tcBorders>
              <w:top w:val="nil"/>
              <w:left w:val="nil"/>
              <w:bottom w:val="single" w:color="auto" w:sz="12" w:space="0"/>
              <w:right w:val="nil"/>
            </w:tcBorders>
            <w:vAlign w:val="center"/>
          </w:tcPr>
          <w:p w14:paraId="4264707C">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-0.4451</w:t>
            </w:r>
          </w:p>
        </w:tc>
      </w:tr>
    </w:tbl>
    <w:p w14:paraId="15360E37">
      <w:pPr>
        <w:keepNext w:val="0"/>
        <w:keepLines w:val="0"/>
        <w:pageBreakBefore w:val="0"/>
        <w:widowControl w:val="0"/>
        <w:kinsoku/>
        <w:wordWrap/>
        <w:overflowPunct/>
        <w:topLinePunct w:val="0"/>
        <w:autoSpaceDE/>
        <w:autoSpaceDN/>
        <w:bidi w:val="0"/>
        <w:adjustRightInd/>
        <w:snapToGrid/>
        <w:spacing w:beforeAutospacing="0" w:after="240" w:afterAutospacing="0" w:line="240" w:lineRule="auto"/>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lang w:val="en-US" w:eastAsia="zh-CN"/>
        </w:rPr>
        <w:t>注：MAE和MSE放大为原数量级的10</w:t>
      </w:r>
      <w:r>
        <w:rPr>
          <w:rFonts w:hint="eastAsia" w:ascii="Times New Roman" w:hAnsi="Times New Roman" w:eastAsia="楷体" w:cs="楷体"/>
          <w:sz w:val="18"/>
          <w:szCs w:val="18"/>
          <w:vertAlign w:val="superscript"/>
          <w:lang w:val="en-US" w:eastAsia="zh-CN"/>
        </w:rPr>
        <w:t>5</w:t>
      </w:r>
      <w:r>
        <w:rPr>
          <w:rFonts w:hint="eastAsia" w:ascii="Times New Roman" w:hAnsi="Times New Roman" w:eastAsia="楷体" w:cs="楷体"/>
          <w:sz w:val="18"/>
          <w:szCs w:val="18"/>
          <w:vertAlign w:val="baseline"/>
          <w:lang w:val="en-US" w:eastAsia="zh-CN"/>
        </w:rPr>
        <w:t>，R</w:t>
      </w:r>
      <w:r>
        <w:rPr>
          <w:rFonts w:hint="eastAsia" w:ascii="Times New Roman" w:hAnsi="Times New Roman" w:eastAsia="楷体" w:cs="楷体"/>
          <w:sz w:val="18"/>
          <w:szCs w:val="18"/>
          <w:vertAlign w:val="superscript"/>
          <w:lang w:val="en-US" w:eastAsia="zh-CN"/>
        </w:rPr>
        <w:t>2</w:t>
      </w:r>
      <w:r>
        <w:rPr>
          <w:rFonts w:hint="eastAsia" w:ascii="Times New Roman" w:hAnsi="Times New Roman" w:eastAsia="楷体" w:cs="楷体"/>
          <w:sz w:val="18"/>
          <w:szCs w:val="18"/>
          <w:vertAlign w:val="baseline"/>
          <w:lang w:val="en-US" w:eastAsia="zh-CN"/>
        </w:rPr>
        <w:t>单位是百分比.</w:t>
      </w:r>
    </w:p>
    <w:p w14:paraId="710280BB">
      <w:pPr>
        <w:widowControl w:val="0"/>
        <w:numPr>
          <w:ilvl w:val="0"/>
          <w:numId w:val="0"/>
        </w:numPr>
        <w:spacing w:before="240" w:beforeAutospacing="0" w:after="240" w:afterAutospacing="0" w:line="279" w:lineRule="auto"/>
        <w:jc w:val="center"/>
        <w:rPr>
          <w:rFonts w:ascii="Times New Roman" w:hAnsi="Times New Roman" w:eastAsia="楷体"/>
        </w:rPr>
      </w:pPr>
      <w:r>
        <w:rPr>
          <w:rFonts w:ascii="Times New Roman" w:hAnsi="Times New Roman" w:eastAsia="楷体"/>
        </w:rPr>
        <w:drawing>
          <wp:inline distT="0" distB="0" distL="114300" distR="114300">
            <wp:extent cx="5273675" cy="2774315"/>
            <wp:effectExtent l="0" t="0" r="952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3675" cy="2774315"/>
                    </a:xfrm>
                    <a:prstGeom prst="rect">
                      <a:avLst/>
                    </a:prstGeom>
                    <a:noFill/>
                    <a:ln>
                      <a:noFill/>
                    </a:ln>
                  </pic:spPr>
                </pic:pic>
              </a:graphicData>
            </a:graphic>
          </wp:inline>
        </w:drawing>
      </w:r>
    </w:p>
    <w:p w14:paraId="0264C5EF">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279" w:lineRule="auto"/>
        <w:jc w:val="center"/>
        <w:textAlignment w:val="auto"/>
        <w:rPr>
          <w:rFonts w:hint="default" w:ascii="Times New Roman" w:hAnsi="Times New Roman" w:eastAsia="楷体" w:cs="楷体"/>
          <w:sz w:val="22"/>
          <w:szCs w:val="22"/>
          <w:lang w:val="en-US" w:eastAsia="zh-CN"/>
        </w:rPr>
      </w:pPr>
      <w:r>
        <w:rPr>
          <w:rFonts w:hint="eastAsia" w:ascii="Times New Roman" w:hAnsi="Times New Roman" w:eastAsia="楷体" w:cs="楷体"/>
          <w:sz w:val="22"/>
          <w:szCs w:val="22"/>
          <w:lang w:val="en-US" w:eastAsia="zh-CN"/>
        </w:rPr>
        <w:t>图1 Ridge回归模型预测与实际汇率收益率</w:t>
      </w:r>
    </w:p>
    <w:p w14:paraId="6C1AAE0A">
      <w:pPr>
        <w:widowControl w:val="0"/>
        <w:numPr>
          <w:ilvl w:val="0"/>
          <w:numId w:val="0"/>
        </w:numPr>
        <w:spacing w:before="240" w:beforeAutospacing="0" w:after="240" w:afterAutospacing="0" w:line="279" w:lineRule="auto"/>
        <w:jc w:val="both"/>
        <w:rPr>
          <w:rFonts w:hint="default" w:ascii="Times New Roman" w:hAnsi="Times New Roman" w:eastAsia="楷体"/>
          <w:lang w:val="en-US" w:eastAsia="zh-CN"/>
        </w:rPr>
      </w:pPr>
    </w:p>
    <w:p w14:paraId="2596DBA2">
      <w:pPr>
        <w:spacing w:before="240" w:beforeAutospacing="0" w:after="240" w:afterAutospacing="0"/>
        <w:rPr>
          <w:rFonts w:hint="eastAsia" w:ascii="Times New Roman" w:hAnsi="Times New Roman" w:eastAsia="楷体" w:cs="楷体"/>
          <w:sz w:val="22"/>
          <w:szCs w:val="22"/>
          <w:lang w:eastAsia="zh-CN"/>
        </w:rPr>
      </w:pPr>
      <w:r>
        <w:rPr>
          <w:rFonts w:ascii="Times New Roman" w:hAnsi="Times New Roman" w:eastAsia="楷体" w:cs="楷体"/>
          <w:b/>
          <w:bCs/>
          <w:sz w:val="22"/>
          <w:szCs w:val="22"/>
          <w:lang w:eastAsia="zh-CN"/>
        </w:rPr>
        <w:t>5. 研究结论</w:t>
      </w:r>
      <w:r>
        <w:rPr>
          <w:rFonts w:ascii="Times New Roman" w:hAnsi="Times New Roman" w:eastAsia="楷体"/>
        </w:rPr>
        <w:br w:type="textWrapping"/>
      </w:r>
      <w:r>
        <w:rPr>
          <w:rFonts w:hint="eastAsia" w:ascii="Times New Roman" w:hAnsi="Times New Roman" w:eastAsia="楷体"/>
          <w:lang w:val="en-US" w:eastAsia="zh-CN"/>
        </w:rPr>
        <w:tab/>
      </w:r>
      <w:r>
        <w:rPr>
          <w:rFonts w:ascii="Times New Roman" w:hAnsi="Times New Roman" w:eastAsia="楷体" w:cs="楷体"/>
          <w:sz w:val="22"/>
          <w:szCs w:val="22"/>
          <w:lang w:eastAsia="zh-CN"/>
        </w:rPr>
        <w:t>综上，在构造 36个潜在预测因子的基础上，本文比较了多种机器学习方法在汇率对数收益率预测中的样本外表现。结果表明，在典型高噪声的外汇市场环境中，多数复杂模型难以显著战胜简单基准</w:t>
      </w:r>
      <w:r>
        <w:rPr>
          <w:rFonts w:hint="eastAsia" w:ascii="Times New Roman" w:hAnsi="Times New Roman" w:eastAsia="楷体" w:cs="楷体"/>
          <w:sz w:val="22"/>
          <w:szCs w:val="22"/>
          <w:lang w:eastAsia="zh-CN"/>
        </w:rPr>
        <w:t>，复杂</w:t>
      </w:r>
      <w:r>
        <w:rPr>
          <w:rFonts w:hint="eastAsia" w:ascii="Times New Roman" w:hAnsi="Times New Roman" w:eastAsia="楷体" w:cs="楷体"/>
          <w:sz w:val="22"/>
          <w:szCs w:val="22"/>
          <w:lang w:val="en-US" w:eastAsia="zh-CN"/>
        </w:rPr>
        <w:t>模型</w:t>
      </w:r>
      <w:r>
        <w:rPr>
          <w:rFonts w:hint="eastAsia" w:ascii="Times New Roman" w:hAnsi="Times New Roman" w:eastAsia="楷体" w:cs="楷体"/>
          <w:sz w:val="22"/>
          <w:szCs w:val="22"/>
          <w:lang w:eastAsia="zh-CN"/>
        </w:rPr>
        <w:t>并不必然优于适度收缩的线性模型。</w:t>
      </w:r>
    </w:p>
    <w:p w14:paraId="4C1239B6">
      <w:pPr>
        <w:spacing w:before="240" w:beforeAutospacing="0" w:after="240" w:afterAutospacing="0"/>
        <w:rPr>
          <w:rFonts w:hint="default" w:ascii="Times New Roman" w:hAnsi="Times New Roman" w:eastAsia="楷体" w:cs="楷体"/>
          <w:sz w:val="22"/>
          <w:szCs w:val="22"/>
          <w:lang w:val="en-US" w:eastAsia="zh-CN"/>
        </w:rPr>
      </w:pPr>
      <w:r>
        <w:rPr>
          <w:rFonts w:hint="eastAsia" w:ascii="Times New Roman" w:hAnsi="Times New Roman" w:eastAsia="楷体" w:cs="楷体"/>
          <w:b/>
          <w:bCs/>
          <w:sz w:val="22"/>
          <w:szCs w:val="22"/>
          <w:lang w:val="en-US" w:eastAsia="zh-CN"/>
        </w:rPr>
        <w:t>6. 更多细节</w:t>
      </w:r>
      <w:r>
        <w:rPr>
          <w:rFonts w:hint="eastAsia" w:ascii="Times New Roman" w:hAnsi="Times New Roman" w:eastAsia="楷体" w:cs="楷体"/>
          <w:b/>
          <w:bCs/>
          <w:sz w:val="22"/>
          <w:szCs w:val="22"/>
          <w:lang w:val="en-US" w:eastAsia="zh-CN"/>
        </w:rPr>
        <w:br w:type="textWrapping"/>
      </w:r>
      <w:r>
        <w:rPr>
          <w:rFonts w:hint="eastAsia" w:ascii="Times New Roman" w:hAnsi="Times New Roman" w:eastAsia="楷体" w:cs="楷体"/>
          <w:b/>
          <w:bCs/>
          <w:sz w:val="22"/>
          <w:szCs w:val="22"/>
          <w:lang w:val="en-US" w:eastAsia="zh-CN"/>
        </w:rPr>
        <w:tab/>
      </w:r>
      <w:r>
        <w:rPr>
          <w:rFonts w:hint="eastAsia" w:ascii="Times New Roman" w:hAnsi="Times New Roman" w:eastAsia="楷体" w:cs="楷体"/>
          <w:b w:val="0"/>
          <w:bCs w:val="0"/>
          <w:sz w:val="22"/>
          <w:szCs w:val="22"/>
          <w:lang w:val="en-US" w:eastAsia="zh-CN"/>
        </w:rPr>
        <w:t>本文正文部分共640字，为了保证篇幅，详细的变量定义、训练过程、预测结果以互联网附录</w:t>
      </w:r>
      <w:r>
        <w:rPr>
          <w:rStyle w:val="20"/>
          <w:rFonts w:hint="eastAsia" w:ascii="Times New Roman" w:hAnsi="Times New Roman" w:eastAsia="楷体" w:cs="楷体"/>
          <w:b w:val="0"/>
          <w:bCs w:val="0"/>
          <w:sz w:val="22"/>
          <w:szCs w:val="22"/>
          <w:lang w:val="en-US" w:eastAsia="zh-CN"/>
        </w:rPr>
        <w:footnoteReference w:id="0"/>
      </w:r>
      <w:r>
        <w:rPr>
          <w:rFonts w:hint="eastAsia" w:ascii="Times New Roman" w:hAnsi="Times New Roman" w:eastAsia="楷体" w:cs="楷体"/>
          <w:b w:val="0"/>
          <w:bCs w:val="0"/>
          <w:sz w:val="22"/>
          <w:szCs w:val="22"/>
          <w:lang w:val="en-US" w:eastAsia="zh-CN"/>
        </w:rPr>
        <w:t>的形式呈现。</w:t>
      </w:r>
      <w:bookmarkStart w:id="0" w:name="_GoBack"/>
      <w:bookmarkEnd w:id="0"/>
    </w:p>
    <w:sectPr>
      <w:pgSz w:w="11906" w:h="16838"/>
      <w:pgMar w:top="1440" w:right="1440" w:bottom="1440" w:left="1440" w:header="720" w:footer="720"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9" w:lineRule="auto"/>
      </w:pPr>
      <w:r>
        <w:separator/>
      </w:r>
    </w:p>
  </w:footnote>
  <w:footnote w:type="continuationSeparator" w:id="3">
    <w:p>
      <w:pPr>
        <w:spacing w:before="0" w:after="0" w:line="279" w:lineRule="auto"/>
      </w:pPr>
      <w:r>
        <w:continuationSeparator/>
      </w:r>
    </w:p>
  </w:footnote>
  <w:footnote w:id="0">
    <w:p w14:paraId="4C45E2C9">
      <w:pPr>
        <w:pStyle w:val="12"/>
        <w:snapToGrid w:val="0"/>
        <w:rPr>
          <w:rFonts w:hint="default" w:ascii="Times New Roman" w:hAnsi="Times New Roman" w:cs="Times New Roman"/>
        </w:rPr>
      </w:pPr>
      <w:r>
        <w:rPr>
          <w:rStyle w:val="20"/>
          <w:rFonts w:hint="default" w:ascii="Times New Roman" w:hAnsi="Times New Roman" w:cs="Times New Roman"/>
        </w:rPr>
        <w:footnoteRef/>
      </w:r>
      <w:r>
        <w:rPr>
          <w:rFonts w:hint="default" w:ascii="Times New Roman" w:hAnsi="Times New Roman" w:cs="Times New Roman"/>
        </w:rPr>
        <w:t xml:space="preserve"> https://github.com/LizPink/Financial-Big-Data/tree/main/Personal_Project_Online_Document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41EF48"/>
    <w:multiLevelType w:val="singleLevel"/>
    <w:tmpl w:val="4F41EF48"/>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E8AE98"/>
    <w:rsid w:val="00052A18"/>
    <w:rsid w:val="00381040"/>
    <w:rsid w:val="00B46918"/>
    <w:rsid w:val="00B7615D"/>
    <w:rsid w:val="00BA23FF"/>
    <w:rsid w:val="011F2A1C"/>
    <w:rsid w:val="014852B3"/>
    <w:rsid w:val="016306CD"/>
    <w:rsid w:val="018362EB"/>
    <w:rsid w:val="01967022"/>
    <w:rsid w:val="01B1642D"/>
    <w:rsid w:val="01C35B9F"/>
    <w:rsid w:val="01C66596"/>
    <w:rsid w:val="01DB6127"/>
    <w:rsid w:val="01F14409"/>
    <w:rsid w:val="02030981"/>
    <w:rsid w:val="0204567E"/>
    <w:rsid w:val="0213766F"/>
    <w:rsid w:val="02145195"/>
    <w:rsid w:val="021623A7"/>
    <w:rsid w:val="0276155A"/>
    <w:rsid w:val="02AF056E"/>
    <w:rsid w:val="02BB75B2"/>
    <w:rsid w:val="02C41C7D"/>
    <w:rsid w:val="02C95F7F"/>
    <w:rsid w:val="02DB300F"/>
    <w:rsid w:val="03011D84"/>
    <w:rsid w:val="030D0562"/>
    <w:rsid w:val="034824D3"/>
    <w:rsid w:val="03521B47"/>
    <w:rsid w:val="0359601B"/>
    <w:rsid w:val="035A18CF"/>
    <w:rsid w:val="03820E78"/>
    <w:rsid w:val="038D3BE1"/>
    <w:rsid w:val="03A80942"/>
    <w:rsid w:val="03E9152D"/>
    <w:rsid w:val="04481257"/>
    <w:rsid w:val="046061CC"/>
    <w:rsid w:val="049367C7"/>
    <w:rsid w:val="04AB1614"/>
    <w:rsid w:val="05307B75"/>
    <w:rsid w:val="053C3093"/>
    <w:rsid w:val="054E0D55"/>
    <w:rsid w:val="05502988"/>
    <w:rsid w:val="055661F0"/>
    <w:rsid w:val="057B7A05"/>
    <w:rsid w:val="05816655"/>
    <w:rsid w:val="06460D4D"/>
    <w:rsid w:val="06487227"/>
    <w:rsid w:val="06555F62"/>
    <w:rsid w:val="06587D46"/>
    <w:rsid w:val="06697495"/>
    <w:rsid w:val="067676BD"/>
    <w:rsid w:val="06837FE9"/>
    <w:rsid w:val="068C5825"/>
    <w:rsid w:val="06DA69AD"/>
    <w:rsid w:val="07057203"/>
    <w:rsid w:val="07272090"/>
    <w:rsid w:val="07A611BD"/>
    <w:rsid w:val="07AF7E3A"/>
    <w:rsid w:val="07D60655"/>
    <w:rsid w:val="07DC0503"/>
    <w:rsid w:val="07E730E6"/>
    <w:rsid w:val="07FB4E2D"/>
    <w:rsid w:val="08403A8C"/>
    <w:rsid w:val="088E3EF3"/>
    <w:rsid w:val="08D16FC1"/>
    <w:rsid w:val="09175C96"/>
    <w:rsid w:val="093305F6"/>
    <w:rsid w:val="0A0631CF"/>
    <w:rsid w:val="0A066F97"/>
    <w:rsid w:val="0A3925DE"/>
    <w:rsid w:val="0A60541B"/>
    <w:rsid w:val="0A9439D7"/>
    <w:rsid w:val="0A9450C5"/>
    <w:rsid w:val="0B332C21"/>
    <w:rsid w:val="0B802457"/>
    <w:rsid w:val="0B8D0851"/>
    <w:rsid w:val="0B9B4146"/>
    <w:rsid w:val="0BA04D7C"/>
    <w:rsid w:val="0BA63302"/>
    <w:rsid w:val="0BE206E2"/>
    <w:rsid w:val="0BF10871"/>
    <w:rsid w:val="0C0544CC"/>
    <w:rsid w:val="0C1741FF"/>
    <w:rsid w:val="0C8D7780"/>
    <w:rsid w:val="0D1D2F6F"/>
    <w:rsid w:val="0D587038"/>
    <w:rsid w:val="0D68593C"/>
    <w:rsid w:val="0D7654CD"/>
    <w:rsid w:val="0D8145F6"/>
    <w:rsid w:val="0D891AA7"/>
    <w:rsid w:val="0D9E0C6B"/>
    <w:rsid w:val="0DAA1F4D"/>
    <w:rsid w:val="0E0E69D0"/>
    <w:rsid w:val="0E3830A8"/>
    <w:rsid w:val="0E5E57C3"/>
    <w:rsid w:val="0E6C0FC3"/>
    <w:rsid w:val="0EA61D7D"/>
    <w:rsid w:val="0EAD0922"/>
    <w:rsid w:val="0EDA36E3"/>
    <w:rsid w:val="0EED24E1"/>
    <w:rsid w:val="0F0F4654"/>
    <w:rsid w:val="0F205179"/>
    <w:rsid w:val="0F6B1E46"/>
    <w:rsid w:val="0F780106"/>
    <w:rsid w:val="0FC93A62"/>
    <w:rsid w:val="103510F8"/>
    <w:rsid w:val="103729C8"/>
    <w:rsid w:val="1052635A"/>
    <w:rsid w:val="10950307"/>
    <w:rsid w:val="109A270B"/>
    <w:rsid w:val="11015DBF"/>
    <w:rsid w:val="111D7BC2"/>
    <w:rsid w:val="111F6419"/>
    <w:rsid w:val="112B39E1"/>
    <w:rsid w:val="11A902D3"/>
    <w:rsid w:val="11C609F9"/>
    <w:rsid w:val="1289059B"/>
    <w:rsid w:val="130721F3"/>
    <w:rsid w:val="132A2B37"/>
    <w:rsid w:val="134C5F41"/>
    <w:rsid w:val="137D0DEC"/>
    <w:rsid w:val="13E8AE98"/>
    <w:rsid w:val="13EFA095"/>
    <w:rsid w:val="1402290C"/>
    <w:rsid w:val="144302DE"/>
    <w:rsid w:val="144A5A37"/>
    <w:rsid w:val="14900FF3"/>
    <w:rsid w:val="14984F35"/>
    <w:rsid w:val="14AE3227"/>
    <w:rsid w:val="14B0229C"/>
    <w:rsid w:val="15330635"/>
    <w:rsid w:val="15437C1E"/>
    <w:rsid w:val="15453B8B"/>
    <w:rsid w:val="157D0899"/>
    <w:rsid w:val="15816947"/>
    <w:rsid w:val="158C334A"/>
    <w:rsid w:val="15BF393E"/>
    <w:rsid w:val="15CE3FF2"/>
    <w:rsid w:val="15FB3C01"/>
    <w:rsid w:val="162304BC"/>
    <w:rsid w:val="164C6DAB"/>
    <w:rsid w:val="16574D1B"/>
    <w:rsid w:val="16736155"/>
    <w:rsid w:val="16D02CCF"/>
    <w:rsid w:val="16E2729C"/>
    <w:rsid w:val="16EE2335"/>
    <w:rsid w:val="176302F9"/>
    <w:rsid w:val="17653607"/>
    <w:rsid w:val="178D1819"/>
    <w:rsid w:val="17C14C83"/>
    <w:rsid w:val="17E84FCA"/>
    <w:rsid w:val="17EC7BDE"/>
    <w:rsid w:val="181E2472"/>
    <w:rsid w:val="18207A01"/>
    <w:rsid w:val="18583BD5"/>
    <w:rsid w:val="187A1FE6"/>
    <w:rsid w:val="18D3724A"/>
    <w:rsid w:val="18E177BC"/>
    <w:rsid w:val="19136F16"/>
    <w:rsid w:val="193B6147"/>
    <w:rsid w:val="19676326"/>
    <w:rsid w:val="198E2E15"/>
    <w:rsid w:val="19AF5A77"/>
    <w:rsid w:val="19C07C84"/>
    <w:rsid w:val="19CC487B"/>
    <w:rsid w:val="1A0379A9"/>
    <w:rsid w:val="1A0C5172"/>
    <w:rsid w:val="1A586F6E"/>
    <w:rsid w:val="1AA673E8"/>
    <w:rsid w:val="1ABA0B77"/>
    <w:rsid w:val="1B2E0C1E"/>
    <w:rsid w:val="1B4E4C23"/>
    <w:rsid w:val="1B553A60"/>
    <w:rsid w:val="1B5B6A5D"/>
    <w:rsid w:val="1B785838"/>
    <w:rsid w:val="1B8371BB"/>
    <w:rsid w:val="1B8D059E"/>
    <w:rsid w:val="1BCE77A8"/>
    <w:rsid w:val="1C0E117B"/>
    <w:rsid w:val="1C1B4C47"/>
    <w:rsid w:val="1C3C27B6"/>
    <w:rsid w:val="1C4529B6"/>
    <w:rsid w:val="1C715266"/>
    <w:rsid w:val="1CAE0268"/>
    <w:rsid w:val="1CB25C77"/>
    <w:rsid w:val="1CDF502D"/>
    <w:rsid w:val="1D126A49"/>
    <w:rsid w:val="1DC615E1"/>
    <w:rsid w:val="1DF4614E"/>
    <w:rsid w:val="1E683DE3"/>
    <w:rsid w:val="1EA24EE5"/>
    <w:rsid w:val="1EBB3EBB"/>
    <w:rsid w:val="1EC23E64"/>
    <w:rsid w:val="1ED34450"/>
    <w:rsid w:val="1F75362E"/>
    <w:rsid w:val="1F7A40AF"/>
    <w:rsid w:val="1F7B0605"/>
    <w:rsid w:val="1F8C2DDE"/>
    <w:rsid w:val="1F8D0609"/>
    <w:rsid w:val="200D6970"/>
    <w:rsid w:val="2030040F"/>
    <w:rsid w:val="20437A56"/>
    <w:rsid w:val="205534E4"/>
    <w:rsid w:val="20B509D9"/>
    <w:rsid w:val="20BE4D41"/>
    <w:rsid w:val="20EA30D0"/>
    <w:rsid w:val="21070D18"/>
    <w:rsid w:val="21074279"/>
    <w:rsid w:val="212E1977"/>
    <w:rsid w:val="21645399"/>
    <w:rsid w:val="21952EE8"/>
    <w:rsid w:val="21A23E97"/>
    <w:rsid w:val="221821D6"/>
    <w:rsid w:val="2297354C"/>
    <w:rsid w:val="22BB1822"/>
    <w:rsid w:val="22E40205"/>
    <w:rsid w:val="22EC3898"/>
    <w:rsid w:val="23410ABE"/>
    <w:rsid w:val="2356427F"/>
    <w:rsid w:val="239C5C07"/>
    <w:rsid w:val="23D34A58"/>
    <w:rsid w:val="244B45EE"/>
    <w:rsid w:val="24521E86"/>
    <w:rsid w:val="249266C1"/>
    <w:rsid w:val="24A82F7D"/>
    <w:rsid w:val="24E86717"/>
    <w:rsid w:val="252235A1"/>
    <w:rsid w:val="254F2B8B"/>
    <w:rsid w:val="25847E9F"/>
    <w:rsid w:val="25AD6FFF"/>
    <w:rsid w:val="265D6277"/>
    <w:rsid w:val="26600825"/>
    <w:rsid w:val="266016B4"/>
    <w:rsid w:val="269D1435"/>
    <w:rsid w:val="26A416CC"/>
    <w:rsid w:val="26AB5818"/>
    <w:rsid w:val="26B26BA7"/>
    <w:rsid w:val="26B458A1"/>
    <w:rsid w:val="275E25EC"/>
    <w:rsid w:val="276E1450"/>
    <w:rsid w:val="279617BA"/>
    <w:rsid w:val="27B60388"/>
    <w:rsid w:val="27C9373B"/>
    <w:rsid w:val="27D514E8"/>
    <w:rsid w:val="27F1686F"/>
    <w:rsid w:val="281E5115"/>
    <w:rsid w:val="283C6CFB"/>
    <w:rsid w:val="284D302B"/>
    <w:rsid w:val="28771E56"/>
    <w:rsid w:val="288527C5"/>
    <w:rsid w:val="288F53F1"/>
    <w:rsid w:val="28BE5CD7"/>
    <w:rsid w:val="28BE7D21"/>
    <w:rsid w:val="28C007D9"/>
    <w:rsid w:val="28DC7F0B"/>
    <w:rsid w:val="28F45255"/>
    <w:rsid w:val="28F82EEB"/>
    <w:rsid w:val="293B27F4"/>
    <w:rsid w:val="29A84153"/>
    <w:rsid w:val="2A306397"/>
    <w:rsid w:val="2A6976F9"/>
    <w:rsid w:val="2A756869"/>
    <w:rsid w:val="2A8D1E5B"/>
    <w:rsid w:val="2AA17AAA"/>
    <w:rsid w:val="2ACA2D88"/>
    <w:rsid w:val="2B0D0850"/>
    <w:rsid w:val="2B4D50EA"/>
    <w:rsid w:val="2B557C3E"/>
    <w:rsid w:val="2BB07E21"/>
    <w:rsid w:val="2BBD4024"/>
    <w:rsid w:val="2BBF4AC1"/>
    <w:rsid w:val="2C2800E1"/>
    <w:rsid w:val="2C400B71"/>
    <w:rsid w:val="2C4E6853"/>
    <w:rsid w:val="2C703257"/>
    <w:rsid w:val="2C830311"/>
    <w:rsid w:val="2CA3146B"/>
    <w:rsid w:val="2CBC077F"/>
    <w:rsid w:val="2CC82C80"/>
    <w:rsid w:val="2CD61610"/>
    <w:rsid w:val="2CD94E8D"/>
    <w:rsid w:val="2CF00429"/>
    <w:rsid w:val="2CFC73DB"/>
    <w:rsid w:val="2D0F0A8D"/>
    <w:rsid w:val="2D761A83"/>
    <w:rsid w:val="2DA40843"/>
    <w:rsid w:val="2DB81984"/>
    <w:rsid w:val="2DCE076A"/>
    <w:rsid w:val="2DDB720D"/>
    <w:rsid w:val="2E144204"/>
    <w:rsid w:val="2E1B5531"/>
    <w:rsid w:val="2E2D1272"/>
    <w:rsid w:val="2E656068"/>
    <w:rsid w:val="2EEB6E83"/>
    <w:rsid w:val="2EF41D74"/>
    <w:rsid w:val="2F0B32F8"/>
    <w:rsid w:val="2F166614"/>
    <w:rsid w:val="2F342E43"/>
    <w:rsid w:val="2F5E3398"/>
    <w:rsid w:val="2F733D9B"/>
    <w:rsid w:val="2FA86D99"/>
    <w:rsid w:val="2FD162AB"/>
    <w:rsid w:val="2FEC4DF6"/>
    <w:rsid w:val="2FF95846"/>
    <w:rsid w:val="306D6ACD"/>
    <w:rsid w:val="30CD7253"/>
    <w:rsid w:val="310A43C7"/>
    <w:rsid w:val="314E305C"/>
    <w:rsid w:val="31701927"/>
    <w:rsid w:val="31C97E9A"/>
    <w:rsid w:val="31F6028F"/>
    <w:rsid w:val="31F90508"/>
    <w:rsid w:val="32785148"/>
    <w:rsid w:val="32B96981"/>
    <w:rsid w:val="32DE5BD4"/>
    <w:rsid w:val="32F727D8"/>
    <w:rsid w:val="32F776E6"/>
    <w:rsid w:val="332741AD"/>
    <w:rsid w:val="334B2FC4"/>
    <w:rsid w:val="335568C7"/>
    <w:rsid w:val="33585C2A"/>
    <w:rsid w:val="33AD69B0"/>
    <w:rsid w:val="34035192"/>
    <w:rsid w:val="341A3E69"/>
    <w:rsid w:val="344A6831"/>
    <w:rsid w:val="34A46DF0"/>
    <w:rsid w:val="34AE5126"/>
    <w:rsid w:val="35AE914F"/>
    <w:rsid w:val="360D1CB4"/>
    <w:rsid w:val="360F78D5"/>
    <w:rsid w:val="36372C24"/>
    <w:rsid w:val="365437D6"/>
    <w:rsid w:val="3658662E"/>
    <w:rsid w:val="3666655F"/>
    <w:rsid w:val="3687511F"/>
    <w:rsid w:val="36C46184"/>
    <w:rsid w:val="37075257"/>
    <w:rsid w:val="37500665"/>
    <w:rsid w:val="3784354C"/>
    <w:rsid w:val="37A36CBE"/>
    <w:rsid w:val="37D2283E"/>
    <w:rsid w:val="38340C1D"/>
    <w:rsid w:val="38613F89"/>
    <w:rsid w:val="38741F0E"/>
    <w:rsid w:val="388F1181"/>
    <w:rsid w:val="38AA5FDD"/>
    <w:rsid w:val="38B05DB1"/>
    <w:rsid w:val="38D0030D"/>
    <w:rsid w:val="38E17B53"/>
    <w:rsid w:val="38F1355F"/>
    <w:rsid w:val="3935659C"/>
    <w:rsid w:val="39665CFB"/>
    <w:rsid w:val="3A4E57F4"/>
    <w:rsid w:val="3A636C6D"/>
    <w:rsid w:val="3ACA79D9"/>
    <w:rsid w:val="3AD80DF0"/>
    <w:rsid w:val="3AED5FA8"/>
    <w:rsid w:val="3AFB06C4"/>
    <w:rsid w:val="3B041271"/>
    <w:rsid w:val="3B3B31B7"/>
    <w:rsid w:val="3B68695A"/>
    <w:rsid w:val="3B7F241E"/>
    <w:rsid w:val="3BE54AD5"/>
    <w:rsid w:val="3BF2188D"/>
    <w:rsid w:val="3BF47D54"/>
    <w:rsid w:val="3C0431C6"/>
    <w:rsid w:val="3C149D63"/>
    <w:rsid w:val="3C183777"/>
    <w:rsid w:val="3C577B7C"/>
    <w:rsid w:val="3C6A3D54"/>
    <w:rsid w:val="3C6D17DE"/>
    <w:rsid w:val="3C840453"/>
    <w:rsid w:val="3C8B300D"/>
    <w:rsid w:val="3CA803D8"/>
    <w:rsid w:val="3D202757"/>
    <w:rsid w:val="3D235C6E"/>
    <w:rsid w:val="3D566086"/>
    <w:rsid w:val="3D5A4B31"/>
    <w:rsid w:val="3D996158"/>
    <w:rsid w:val="3DF8652F"/>
    <w:rsid w:val="3E208859"/>
    <w:rsid w:val="3E3A0EB7"/>
    <w:rsid w:val="3EE83EB9"/>
    <w:rsid w:val="3F037C9B"/>
    <w:rsid w:val="3F3112B6"/>
    <w:rsid w:val="3F3C12AC"/>
    <w:rsid w:val="3F4878D5"/>
    <w:rsid w:val="3F633044"/>
    <w:rsid w:val="3F7B1DD4"/>
    <w:rsid w:val="3F7D4A4F"/>
    <w:rsid w:val="4053791A"/>
    <w:rsid w:val="4059793E"/>
    <w:rsid w:val="40603FFC"/>
    <w:rsid w:val="40844CB8"/>
    <w:rsid w:val="40996EA9"/>
    <w:rsid w:val="40A30A6D"/>
    <w:rsid w:val="40C625F2"/>
    <w:rsid w:val="40C63F6B"/>
    <w:rsid w:val="40CE2B32"/>
    <w:rsid w:val="40FF6385"/>
    <w:rsid w:val="41102691"/>
    <w:rsid w:val="41304EAA"/>
    <w:rsid w:val="415A7879"/>
    <w:rsid w:val="4183757C"/>
    <w:rsid w:val="418B1628"/>
    <w:rsid w:val="41B14658"/>
    <w:rsid w:val="41B4781F"/>
    <w:rsid w:val="41E04490"/>
    <w:rsid w:val="41EC520B"/>
    <w:rsid w:val="41EF0988"/>
    <w:rsid w:val="41FD1B2B"/>
    <w:rsid w:val="421A1C49"/>
    <w:rsid w:val="425205B0"/>
    <w:rsid w:val="42F771B0"/>
    <w:rsid w:val="430E20C8"/>
    <w:rsid w:val="4345608A"/>
    <w:rsid w:val="43AC6B16"/>
    <w:rsid w:val="43BB47EB"/>
    <w:rsid w:val="4411661B"/>
    <w:rsid w:val="44A21C99"/>
    <w:rsid w:val="44BF2CF4"/>
    <w:rsid w:val="44E2408C"/>
    <w:rsid w:val="453B3D19"/>
    <w:rsid w:val="455C516E"/>
    <w:rsid w:val="45F749B8"/>
    <w:rsid w:val="46116B69"/>
    <w:rsid w:val="46147734"/>
    <w:rsid w:val="461C01F5"/>
    <w:rsid w:val="463A26D8"/>
    <w:rsid w:val="46902609"/>
    <w:rsid w:val="46CE77DF"/>
    <w:rsid w:val="46CF178C"/>
    <w:rsid w:val="47097C9E"/>
    <w:rsid w:val="470F01F1"/>
    <w:rsid w:val="47563DA9"/>
    <w:rsid w:val="477626C0"/>
    <w:rsid w:val="4791366F"/>
    <w:rsid w:val="47B510B6"/>
    <w:rsid w:val="47D25BD3"/>
    <w:rsid w:val="4848391D"/>
    <w:rsid w:val="486E6FCC"/>
    <w:rsid w:val="49663AF5"/>
    <w:rsid w:val="496D1B2E"/>
    <w:rsid w:val="4981092F"/>
    <w:rsid w:val="49C36851"/>
    <w:rsid w:val="4A530593"/>
    <w:rsid w:val="4A92714A"/>
    <w:rsid w:val="4AA658AC"/>
    <w:rsid w:val="4AE5528E"/>
    <w:rsid w:val="4AE865AE"/>
    <w:rsid w:val="4AEE39BE"/>
    <w:rsid w:val="4B4614E8"/>
    <w:rsid w:val="4B742C4B"/>
    <w:rsid w:val="4B8A53E3"/>
    <w:rsid w:val="4B913286"/>
    <w:rsid w:val="4BB24DCF"/>
    <w:rsid w:val="4BB51B23"/>
    <w:rsid w:val="4BBB4A40"/>
    <w:rsid w:val="4BEA27BB"/>
    <w:rsid w:val="4C4C578B"/>
    <w:rsid w:val="4CCC1EC1"/>
    <w:rsid w:val="4D0A226B"/>
    <w:rsid w:val="4D1B1A4E"/>
    <w:rsid w:val="4D1F106D"/>
    <w:rsid w:val="4D41181C"/>
    <w:rsid w:val="4D50406A"/>
    <w:rsid w:val="4D58469D"/>
    <w:rsid w:val="4D77699D"/>
    <w:rsid w:val="4D7C38E7"/>
    <w:rsid w:val="4DBD2312"/>
    <w:rsid w:val="4DC85818"/>
    <w:rsid w:val="4DE3517A"/>
    <w:rsid w:val="4E04679F"/>
    <w:rsid w:val="4E742810"/>
    <w:rsid w:val="4EC455CE"/>
    <w:rsid w:val="4ECC7F56"/>
    <w:rsid w:val="4F3D6422"/>
    <w:rsid w:val="4F9A62A6"/>
    <w:rsid w:val="4FED287A"/>
    <w:rsid w:val="50463D38"/>
    <w:rsid w:val="509C3084"/>
    <w:rsid w:val="50AB080A"/>
    <w:rsid w:val="50D72809"/>
    <w:rsid w:val="51100CD2"/>
    <w:rsid w:val="5116753A"/>
    <w:rsid w:val="5126561B"/>
    <w:rsid w:val="5143427D"/>
    <w:rsid w:val="51C36AAD"/>
    <w:rsid w:val="51CB5EEC"/>
    <w:rsid w:val="51D97682"/>
    <w:rsid w:val="523C1920"/>
    <w:rsid w:val="52505342"/>
    <w:rsid w:val="52546BE0"/>
    <w:rsid w:val="526C4DBF"/>
    <w:rsid w:val="527B23BF"/>
    <w:rsid w:val="529A68C0"/>
    <w:rsid w:val="52E90528"/>
    <w:rsid w:val="52F92CDD"/>
    <w:rsid w:val="53135C11"/>
    <w:rsid w:val="531701D7"/>
    <w:rsid w:val="53620E89"/>
    <w:rsid w:val="53CA7A1B"/>
    <w:rsid w:val="53F341D7"/>
    <w:rsid w:val="53FD6E04"/>
    <w:rsid w:val="540754A1"/>
    <w:rsid w:val="540957A8"/>
    <w:rsid w:val="540E2DBF"/>
    <w:rsid w:val="541E6C2F"/>
    <w:rsid w:val="54843F60"/>
    <w:rsid w:val="54BD61B5"/>
    <w:rsid w:val="54CA0F52"/>
    <w:rsid w:val="54CB6F02"/>
    <w:rsid w:val="54FF02B0"/>
    <w:rsid w:val="550C0FF7"/>
    <w:rsid w:val="550F278F"/>
    <w:rsid w:val="553625CD"/>
    <w:rsid w:val="555E17BA"/>
    <w:rsid w:val="55EA33B8"/>
    <w:rsid w:val="56093759"/>
    <w:rsid w:val="56244B1C"/>
    <w:rsid w:val="562677C7"/>
    <w:rsid w:val="5644163D"/>
    <w:rsid w:val="56755BF3"/>
    <w:rsid w:val="56AD3EC1"/>
    <w:rsid w:val="56B155BA"/>
    <w:rsid w:val="56B5784E"/>
    <w:rsid w:val="587C2455"/>
    <w:rsid w:val="589368CE"/>
    <w:rsid w:val="58AD704A"/>
    <w:rsid w:val="58CB3146"/>
    <w:rsid w:val="58EA672E"/>
    <w:rsid w:val="592F507E"/>
    <w:rsid w:val="59AA781E"/>
    <w:rsid w:val="59BA29B8"/>
    <w:rsid w:val="59EA3E98"/>
    <w:rsid w:val="59F36CDF"/>
    <w:rsid w:val="5A407A4A"/>
    <w:rsid w:val="5A753B98"/>
    <w:rsid w:val="5AAB2EB7"/>
    <w:rsid w:val="5AAE0B6F"/>
    <w:rsid w:val="5AF93E9C"/>
    <w:rsid w:val="5B1C7482"/>
    <w:rsid w:val="5B573318"/>
    <w:rsid w:val="5B9C437D"/>
    <w:rsid w:val="5B9C643C"/>
    <w:rsid w:val="5BF47881"/>
    <w:rsid w:val="5C61405A"/>
    <w:rsid w:val="5C74463F"/>
    <w:rsid w:val="5C9C18B0"/>
    <w:rsid w:val="5CAC6214"/>
    <w:rsid w:val="5D1E0517"/>
    <w:rsid w:val="5D29565C"/>
    <w:rsid w:val="5D2E44D2"/>
    <w:rsid w:val="5D3B2020"/>
    <w:rsid w:val="5D3C6BEF"/>
    <w:rsid w:val="5D5C7A80"/>
    <w:rsid w:val="5D5E0913"/>
    <w:rsid w:val="5D67298B"/>
    <w:rsid w:val="5D9B58D7"/>
    <w:rsid w:val="5DA97E4D"/>
    <w:rsid w:val="5DD04BD2"/>
    <w:rsid w:val="5DD93833"/>
    <w:rsid w:val="5E24377D"/>
    <w:rsid w:val="5E3F3128"/>
    <w:rsid w:val="5E4611F3"/>
    <w:rsid w:val="5E58762A"/>
    <w:rsid w:val="5E8E5228"/>
    <w:rsid w:val="5EB11E04"/>
    <w:rsid w:val="5ED54C05"/>
    <w:rsid w:val="5ED608A8"/>
    <w:rsid w:val="5EE12031"/>
    <w:rsid w:val="5EFA28BD"/>
    <w:rsid w:val="5F3202A9"/>
    <w:rsid w:val="5F441D8B"/>
    <w:rsid w:val="5F4A5D0C"/>
    <w:rsid w:val="5F685A79"/>
    <w:rsid w:val="5F84662B"/>
    <w:rsid w:val="5FE22551"/>
    <w:rsid w:val="5FF11F12"/>
    <w:rsid w:val="6034585A"/>
    <w:rsid w:val="6037544B"/>
    <w:rsid w:val="6085125A"/>
    <w:rsid w:val="60934D78"/>
    <w:rsid w:val="60B46AA4"/>
    <w:rsid w:val="60EB1E1F"/>
    <w:rsid w:val="610B374B"/>
    <w:rsid w:val="61265BEC"/>
    <w:rsid w:val="613B0F6B"/>
    <w:rsid w:val="6142054C"/>
    <w:rsid w:val="61F26C86"/>
    <w:rsid w:val="61FE1E3F"/>
    <w:rsid w:val="6215765D"/>
    <w:rsid w:val="623228BC"/>
    <w:rsid w:val="62465E1A"/>
    <w:rsid w:val="626324F4"/>
    <w:rsid w:val="626F5370"/>
    <w:rsid w:val="62960B4F"/>
    <w:rsid w:val="629B098E"/>
    <w:rsid w:val="62A80882"/>
    <w:rsid w:val="62C4691C"/>
    <w:rsid w:val="63001032"/>
    <w:rsid w:val="63387E58"/>
    <w:rsid w:val="638C3E3F"/>
    <w:rsid w:val="63BE3612"/>
    <w:rsid w:val="63E925C5"/>
    <w:rsid w:val="642B3519"/>
    <w:rsid w:val="643B5584"/>
    <w:rsid w:val="64580344"/>
    <w:rsid w:val="64590086"/>
    <w:rsid w:val="647A3CB0"/>
    <w:rsid w:val="649B23CD"/>
    <w:rsid w:val="65186442"/>
    <w:rsid w:val="65380752"/>
    <w:rsid w:val="65E91B04"/>
    <w:rsid w:val="65E971E8"/>
    <w:rsid w:val="65E97AAD"/>
    <w:rsid w:val="660E4009"/>
    <w:rsid w:val="66120B2E"/>
    <w:rsid w:val="6659546A"/>
    <w:rsid w:val="66873D26"/>
    <w:rsid w:val="668A797B"/>
    <w:rsid w:val="66AF32B2"/>
    <w:rsid w:val="66F568E8"/>
    <w:rsid w:val="6725657A"/>
    <w:rsid w:val="672D3610"/>
    <w:rsid w:val="67323AE4"/>
    <w:rsid w:val="67397C83"/>
    <w:rsid w:val="677A62E8"/>
    <w:rsid w:val="678E3067"/>
    <w:rsid w:val="679D64DC"/>
    <w:rsid w:val="67B92DA9"/>
    <w:rsid w:val="6806174B"/>
    <w:rsid w:val="68111A8C"/>
    <w:rsid w:val="681E1FDF"/>
    <w:rsid w:val="682033F3"/>
    <w:rsid w:val="6873723D"/>
    <w:rsid w:val="68D35CA3"/>
    <w:rsid w:val="68ED5241"/>
    <w:rsid w:val="693804A3"/>
    <w:rsid w:val="69512A12"/>
    <w:rsid w:val="69967687"/>
    <w:rsid w:val="69C058E5"/>
    <w:rsid w:val="69CA55DC"/>
    <w:rsid w:val="6A114F5F"/>
    <w:rsid w:val="6A46254B"/>
    <w:rsid w:val="6A5163AF"/>
    <w:rsid w:val="6A530054"/>
    <w:rsid w:val="6A8E5906"/>
    <w:rsid w:val="6A943CB5"/>
    <w:rsid w:val="6A9C719D"/>
    <w:rsid w:val="6AB86FE9"/>
    <w:rsid w:val="6AFA2377"/>
    <w:rsid w:val="6B19231D"/>
    <w:rsid w:val="6B1E7298"/>
    <w:rsid w:val="6BAE7FC7"/>
    <w:rsid w:val="6BCA7826"/>
    <w:rsid w:val="6BD117D2"/>
    <w:rsid w:val="6C4E249B"/>
    <w:rsid w:val="6C7328A5"/>
    <w:rsid w:val="6D855A48"/>
    <w:rsid w:val="6DAC289B"/>
    <w:rsid w:val="6DD52377"/>
    <w:rsid w:val="6DD54C21"/>
    <w:rsid w:val="6E00355C"/>
    <w:rsid w:val="6E0146AF"/>
    <w:rsid w:val="6E562219"/>
    <w:rsid w:val="6E76659D"/>
    <w:rsid w:val="6E7C00CC"/>
    <w:rsid w:val="6E9F3CBA"/>
    <w:rsid w:val="6F7729F2"/>
    <w:rsid w:val="6FB544C6"/>
    <w:rsid w:val="6FE95C1F"/>
    <w:rsid w:val="70217DF3"/>
    <w:rsid w:val="70264B98"/>
    <w:rsid w:val="70330545"/>
    <w:rsid w:val="70A00B41"/>
    <w:rsid w:val="70CE5958"/>
    <w:rsid w:val="70D311C0"/>
    <w:rsid w:val="71220D40"/>
    <w:rsid w:val="714125CE"/>
    <w:rsid w:val="71576DDF"/>
    <w:rsid w:val="71620EB3"/>
    <w:rsid w:val="717209D9"/>
    <w:rsid w:val="71A53B40"/>
    <w:rsid w:val="71AD0F25"/>
    <w:rsid w:val="71B40FF2"/>
    <w:rsid w:val="7203702B"/>
    <w:rsid w:val="725400DF"/>
    <w:rsid w:val="725B7D61"/>
    <w:rsid w:val="72BB3CBA"/>
    <w:rsid w:val="730E4732"/>
    <w:rsid w:val="73872649"/>
    <w:rsid w:val="73992EFF"/>
    <w:rsid w:val="739C7F8F"/>
    <w:rsid w:val="73CA0659"/>
    <w:rsid w:val="73D976DD"/>
    <w:rsid w:val="74220495"/>
    <w:rsid w:val="74235FBB"/>
    <w:rsid w:val="74281825"/>
    <w:rsid w:val="74A3BB09"/>
    <w:rsid w:val="74FE71FA"/>
    <w:rsid w:val="756557AB"/>
    <w:rsid w:val="7581743D"/>
    <w:rsid w:val="75855549"/>
    <w:rsid w:val="75967B09"/>
    <w:rsid w:val="75992388"/>
    <w:rsid w:val="75C80BC8"/>
    <w:rsid w:val="76013E56"/>
    <w:rsid w:val="760B58B5"/>
    <w:rsid w:val="7621477C"/>
    <w:rsid w:val="76243BD3"/>
    <w:rsid w:val="764811BC"/>
    <w:rsid w:val="76CB7601"/>
    <w:rsid w:val="7709593C"/>
    <w:rsid w:val="77366005"/>
    <w:rsid w:val="775D7A36"/>
    <w:rsid w:val="77AA1492"/>
    <w:rsid w:val="77BF424C"/>
    <w:rsid w:val="77D9388F"/>
    <w:rsid w:val="7802777D"/>
    <w:rsid w:val="784A0638"/>
    <w:rsid w:val="78986099"/>
    <w:rsid w:val="789C633C"/>
    <w:rsid w:val="78AD22F7"/>
    <w:rsid w:val="78BD51E0"/>
    <w:rsid w:val="78C241E3"/>
    <w:rsid w:val="7963456A"/>
    <w:rsid w:val="79677FDB"/>
    <w:rsid w:val="797A4179"/>
    <w:rsid w:val="7A1212E8"/>
    <w:rsid w:val="7A5F5873"/>
    <w:rsid w:val="7A6510DB"/>
    <w:rsid w:val="7A765096"/>
    <w:rsid w:val="7A873D3F"/>
    <w:rsid w:val="7A8B0CAC"/>
    <w:rsid w:val="7AA35F16"/>
    <w:rsid w:val="7B0326A2"/>
    <w:rsid w:val="7B6E6839"/>
    <w:rsid w:val="7B7715C5"/>
    <w:rsid w:val="7B8784E7"/>
    <w:rsid w:val="7BA3095C"/>
    <w:rsid w:val="7BAF18BE"/>
    <w:rsid w:val="7BC97448"/>
    <w:rsid w:val="7BFC5A6F"/>
    <w:rsid w:val="7C0D1A2A"/>
    <w:rsid w:val="7D4D763F"/>
    <w:rsid w:val="7DD91F93"/>
    <w:rsid w:val="7E9F10B2"/>
    <w:rsid w:val="7EAA1628"/>
    <w:rsid w:val="7EBA29FD"/>
    <w:rsid w:val="7EC20855"/>
    <w:rsid w:val="7ECB561B"/>
    <w:rsid w:val="7F227328"/>
    <w:rsid w:val="7F303011"/>
    <w:rsid w:val="7F3C32F9"/>
    <w:rsid w:val="7F7A37E8"/>
    <w:rsid w:val="7F9B734D"/>
    <w:rsid w:val="7FBF342B"/>
    <w:rsid w:val="7FC45B55"/>
    <w:rsid w:val="7FCF6AF6"/>
    <w:rsid w:val="7FD5285F"/>
    <w:rsid w:val="7FE90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9" w:lineRule="auto"/>
      <w:jc w:val="both"/>
    </w:pPr>
    <w:rPr>
      <w:rFonts w:asciiTheme="minorHAnsi" w:hAnsiTheme="minorHAnsi" w:eastAsiaTheme="minorEastAsia" w:cstheme="minorBidi"/>
      <w:kern w:val="2"/>
      <w:sz w:val="22"/>
      <w:szCs w:val="22"/>
      <w:lang w:val="en-US" w:eastAsia="zh-CN" w:bidi="ar-SA"/>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104862" w:themeColor="accent1" w:themeShade="BF"/>
      <w:kern w:val="48"/>
      <w:sz w:val="48"/>
      <w:szCs w:val="48"/>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3"/>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4"/>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5"/>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6"/>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7"/>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unhideWhenUsed/>
    <w:qFormat/>
    <w:uiPriority w:val="9"/>
    <w:pPr>
      <w:keepNext/>
      <w:keepLines/>
      <w:spacing w:after="0"/>
      <w:outlineLvl w:val="8"/>
    </w:pPr>
    <w:rPr>
      <w:rFonts w:asciiTheme="majorHAnsi" w:hAnsiTheme="maj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31"/>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footnote text"/>
    <w:basedOn w:val="1"/>
    <w:semiHidden/>
    <w:unhideWhenUsed/>
    <w:uiPriority w:val="99"/>
    <w:pPr>
      <w:snapToGrid w:val="0"/>
      <w:jc w:val="left"/>
    </w:pPr>
    <w:rPr>
      <w:sz w:val="18"/>
    </w:rPr>
  </w:style>
  <w:style w:type="paragraph" w:styleId="1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4">
    <w:name w:val="Title"/>
    <w:basedOn w:val="1"/>
    <w:next w:val="1"/>
    <w:link w:val="30"/>
    <w:qFormat/>
    <w:uiPriority w:val="10"/>
    <w:pPr>
      <w:spacing w:after="80" w:line="240" w:lineRule="auto"/>
      <w:contextualSpacing/>
      <w:jc w:val="center"/>
    </w:pPr>
    <w:rPr>
      <w:rFonts w:asciiTheme="majorHAnsi" w:hAnsiTheme="majorHAnsi" w:eastAsiaTheme="majorEastAsia" w:cstheme="majorBidi"/>
      <w:sz w:val="56"/>
      <w:szCs w:val="56"/>
    </w:rPr>
  </w:style>
  <w:style w:type="table" w:styleId="16">
    <w:name w:val="Table Grid"/>
    <w:basedOn w:val="15"/>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HTML Code"/>
    <w:basedOn w:val="17"/>
    <w:semiHidden/>
    <w:unhideWhenUsed/>
    <w:uiPriority w:val="99"/>
    <w:rPr>
      <w:rFonts w:ascii="Courier New" w:hAnsi="Courier New"/>
      <w:sz w:val="20"/>
    </w:rPr>
  </w:style>
  <w:style w:type="character" w:styleId="20">
    <w:name w:val="footnote reference"/>
    <w:basedOn w:val="17"/>
    <w:semiHidden/>
    <w:unhideWhenUsed/>
    <w:uiPriority w:val="99"/>
    <w:rPr>
      <w:vertAlign w:val="superscript"/>
    </w:rPr>
  </w:style>
  <w:style w:type="character" w:customStyle="1" w:styleId="21">
    <w:name w:val="Heading 1 Char"/>
    <w:basedOn w:val="17"/>
    <w:link w:val="2"/>
    <w:qFormat/>
    <w:uiPriority w:val="9"/>
    <w:rPr>
      <w:rFonts w:asciiTheme="majorHAnsi" w:hAnsiTheme="majorHAnsi" w:eastAsiaTheme="majorEastAsia" w:cstheme="majorBidi"/>
      <w:color w:val="104862" w:themeColor="accent1" w:themeShade="BF"/>
      <w:kern w:val="48"/>
      <w:sz w:val="48"/>
      <w:szCs w:val="48"/>
    </w:rPr>
  </w:style>
  <w:style w:type="character" w:customStyle="1" w:styleId="22">
    <w:name w:val="Heading 2 Char"/>
    <w:basedOn w:val="17"/>
    <w:link w:val="3"/>
    <w:qFormat/>
    <w:uiPriority w:val="9"/>
    <w:rPr>
      <w:rFonts w:asciiTheme="majorHAnsi" w:hAnsiTheme="majorHAnsi" w:eastAsiaTheme="majorEastAsia" w:cstheme="majorBidi"/>
      <w:color w:val="104862" w:themeColor="accent1" w:themeShade="BF"/>
      <w:sz w:val="40"/>
      <w:szCs w:val="40"/>
    </w:rPr>
  </w:style>
  <w:style w:type="character" w:customStyle="1" w:styleId="23">
    <w:name w:val="Heading 3 Char"/>
    <w:basedOn w:val="17"/>
    <w:link w:val="4"/>
    <w:uiPriority w:val="9"/>
    <w:rPr>
      <w:rFonts w:asciiTheme="majorHAnsi" w:hAnsiTheme="majorHAnsi" w:eastAsiaTheme="majorEastAsia" w:cstheme="majorBidi"/>
      <w:color w:val="104862" w:themeColor="accent1" w:themeShade="BF"/>
      <w:sz w:val="32"/>
      <w:szCs w:val="32"/>
    </w:rPr>
  </w:style>
  <w:style w:type="character" w:customStyle="1" w:styleId="24">
    <w:name w:val="Heading 4 Char"/>
    <w:basedOn w:val="17"/>
    <w:link w:val="5"/>
    <w:uiPriority w:val="9"/>
    <w:rPr>
      <w:rFonts w:cstheme="majorBidi"/>
      <w:color w:val="104862" w:themeColor="accent1" w:themeShade="BF"/>
      <w:sz w:val="28"/>
      <w:szCs w:val="28"/>
    </w:rPr>
  </w:style>
  <w:style w:type="character" w:customStyle="1" w:styleId="25">
    <w:name w:val="Heading 5 Char"/>
    <w:basedOn w:val="17"/>
    <w:link w:val="6"/>
    <w:uiPriority w:val="9"/>
    <w:rPr>
      <w:rFonts w:cstheme="majorBidi"/>
      <w:color w:val="104862" w:themeColor="accent1" w:themeShade="BF"/>
      <w:sz w:val="24"/>
      <w:szCs w:val="24"/>
    </w:rPr>
  </w:style>
  <w:style w:type="character" w:customStyle="1" w:styleId="26">
    <w:name w:val="Heading 6 Char"/>
    <w:basedOn w:val="17"/>
    <w:link w:val="7"/>
    <w:uiPriority w:val="9"/>
    <w:rPr>
      <w:rFonts w:cstheme="majorBidi"/>
      <w:b/>
      <w:bCs/>
      <w:color w:val="104862" w:themeColor="accent1" w:themeShade="BF"/>
    </w:rPr>
  </w:style>
  <w:style w:type="character" w:customStyle="1" w:styleId="27">
    <w:name w:val="Heading 7 Char"/>
    <w:basedOn w:val="17"/>
    <w:link w:val="8"/>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Heading 8 Char"/>
    <w:basedOn w:val="17"/>
    <w:link w:val="9"/>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Heading 9 Char"/>
    <w:basedOn w:val="17"/>
    <w:link w:val="10"/>
    <w:qFormat/>
    <w:uiPriority w:val="9"/>
    <w:rPr>
      <w:rFonts w:asciiTheme="majorHAnsi" w:hAnsiTheme="maj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Title Char"/>
    <w:basedOn w:val="17"/>
    <w:link w:val="14"/>
    <w:qFormat/>
    <w:uiPriority w:val="10"/>
    <w:rPr>
      <w:rFonts w:asciiTheme="majorHAnsi" w:hAnsiTheme="majorHAnsi" w:eastAsiaTheme="majorEastAsia" w:cstheme="majorBidi"/>
      <w:sz w:val="56"/>
      <w:szCs w:val="56"/>
    </w:rPr>
  </w:style>
  <w:style w:type="character" w:customStyle="1" w:styleId="31">
    <w:name w:val="Subtitle Char"/>
    <w:basedOn w:val="17"/>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2">
    <w:name w:val="Intense Emphasis"/>
    <w:basedOn w:val="17"/>
    <w:qFormat/>
    <w:uiPriority w:val="21"/>
    <w:rPr>
      <w:i/>
      <w:iCs/>
      <w:color w:val="104862" w:themeColor="accent1" w:themeShade="BF"/>
    </w:rPr>
  </w:style>
  <w:style w:type="character" w:customStyle="1" w:styleId="33">
    <w:name w:val="Quote Char"/>
    <w:basedOn w:val="17"/>
    <w:link w:val="34"/>
    <w:qFormat/>
    <w:uiPriority w:val="29"/>
    <w:rPr>
      <w:i/>
      <w:iCs/>
      <w:color w:val="404040" w:themeColor="text1" w:themeTint="BF"/>
      <w14:textFill>
        <w14:solidFill>
          <w14:schemeClr w14:val="tx1">
            <w14:lumMod w14:val="75000"/>
            <w14:lumOff w14:val="25000"/>
          </w14:schemeClr>
        </w14:solidFill>
      </w14:textFill>
    </w:rPr>
  </w:style>
  <w:style w:type="paragraph" w:styleId="34">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Intense Quote Char"/>
    <w:basedOn w:val="17"/>
    <w:link w:val="36"/>
    <w:qFormat/>
    <w:uiPriority w:val="30"/>
    <w:rPr>
      <w:i/>
      <w:iCs/>
      <w:color w:val="104862" w:themeColor="accent1" w:themeShade="BF"/>
    </w:rPr>
  </w:style>
  <w:style w:type="paragraph" w:styleId="36">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Reference"/>
    <w:basedOn w:val="17"/>
    <w:qFormat/>
    <w:uiPriority w:val="32"/>
    <w:rPr>
      <w:b/>
      <w:bCs/>
      <w:smallCaps/>
      <w:color w:val="104862" w:themeColor="accent1" w:themeShade="BF"/>
      <w:spacing w:val="5"/>
    </w:rPr>
  </w:style>
  <w:style w:type="paragraph" w:styleId="38">
    <w:name w:val="List Paragraph"/>
    <w:basedOn w:val="1"/>
    <w:qFormat/>
    <w:uiPriority w:val="34"/>
    <w:pPr>
      <w:ind w:left="72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4112</Words>
  <Characters>8036</Characters>
  <TotalTime>0</TotalTime>
  <ScaleCrop>false</ScaleCrop>
  <LinksUpToDate>false</LinksUpToDate>
  <CharactersWithSpaces>8430</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2025-11-27T01:58:00Z</dcterms:created>
  <dc:creator>子平 李</dc:creator>
  <cp:lastModifiedBy>李子平</cp:lastModifiedBy>
  <dcterms:modified xsi:type="dcterms:W3CDTF">2025-12-01T09:17:22Z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eyJoZGlkIjoiMzM5ODQ1YjBkN2FiZjMwYTI4ZmRmODM2YzhkYzA1NmUiLCJ1c2VySWQiOiIzODI1NzA1MTkifQ==</vt:lpwstr>
  </property>
  <property fmtid="{D5CDD505-2E9C-101B-9397-08002B2CF9AE}" pid="3" name="KSOProductBuildVer">
    <vt:lpwstr>2052-12.1.0.23539</vt:lpwstr>
  </property>
  <property fmtid="{D5CDD505-2E9C-101B-9397-08002B2CF9AE}" pid="4" name="ICV">
    <vt:lpwstr>6B746E030D914090B4ABE67F4990A1BC_12</vt:lpwstr>
  </property>
</Properties>
</file>