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12B1" w14:textId="77777777" w:rsidR="003833B2" w:rsidRDefault="003833B2">
      <w:pPr>
        <w:spacing w:after="240" w:line="240" w:lineRule="auto"/>
        <w:jc w:val="center"/>
        <w:rPr>
          <w:rFonts w:hint="eastAsia"/>
        </w:rPr>
      </w:pPr>
    </w:p>
    <w:p w14:paraId="31C3C161" w14:textId="77777777" w:rsidR="003833B2" w:rsidRDefault="003833B2">
      <w:pPr>
        <w:spacing w:after="240" w:line="240" w:lineRule="auto"/>
        <w:jc w:val="center"/>
        <w:rPr>
          <w:rFonts w:hint="eastAsia"/>
        </w:rPr>
      </w:pPr>
    </w:p>
    <w:p w14:paraId="3DDE7F1B" w14:textId="77777777" w:rsidR="003833B2" w:rsidRDefault="003833B2">
      <w:pPr>
        <w:spacing w:after="240" w:line="240" w:lineRule="auto"/>
        <w:jc w:val="center"/>
        <w:rPr>
          <w:rFonts w:hint="eastAsia"/>
        </w:rPr>
      </w:pPr>
    </w:p>
    <w:p w14:paraId="1BBEF29F" w14:textId="77777777" w:rsidR="003833B2" w:rsidRDefault="003833B2">
      <w:pPr>
        <w:spacing w:after="240" w:line="240" w:lineRule="auto"/>
        <w:jc w:val="center"/>
        <w:rPr>
          <w:rFonts w:hint="eastAsia"/>
        </w:rPr>
      </w:pPr>
    </w:p>
    <w:p w14:paraId="3531495B" w14:textId="77777777" w:rsidR="003833B2" w:rsidRDefault="00000000">
      <w:pPr>
        <w:spacing w:after="160"/>
        <w:jc w:val="center"/>
        <w:rPr>
          <w:rFonts w:hint="eastAsia"/>
        </w:rPr>
      </w:pPr>
      <w:r>
        <w:rPr>
          <w:rFonts w:ascii="黑体" w:eastAsia="黑体" w:hAnsi="黑体"/>
          <w:b/>
          <w:color w:val="2F6B8A"/>
          <w:sz w:val="48"/>
          <w:lang w:eastAsia="zh-CN"/>
        </w:rPr>
        <w:t>从规则策略到机器学习选股</w:t>
      </w:r>
    </w:p>
    <w:p w14:paraId="3ED7FB3B" w14:textId="77777777" w:rsidR="003833B2" w:rsidRDefault="00000000">
      <w:pPr>
        <w:spacing w:after="10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25313A"/>
          <w:sz w:val="30"/>
          <w:lang w:eastAsia="zh-CN"/>
        </w:rPr>
        <w:t>量化交易实践总结与多策略系统设计</w:t>
      </w:r>
    </w:p>
    <w:p w14:paraId="04EB130D" w14:textId="31E7CE47" w:rsidR="003833B2" w:rsidRDefault="00000000" w:rsidP="00EE0252">
      <w:pPr>
        <w:spacing w:line="432" w:lineRule="auto"/>
        <w:jc w:val="center"/>
        <w:rPr>
          <w:rFonts w:hint="eastAsia"/>
          <w:lang w:eastAsia="zh-CN"/>
        </w:rPr>
      </w:pPr>
      <w:r>
        <w:rPr>
          <w:color w:val="6B747C"/>
          <w:sz w:val="22"/>
          <w:lang w:eastAsia="zh-CN"/>
        </w:rPr>
        <w:t>作者：李子平</w:t>
      </w:r>
      <w:r>
        <w:rPr>
          <w:color w:val="6B747C"/>
          <w:sz w:val="22"/>
          <w:lang w:eastAsia="zh-CN"/>
        </w:rPr>
        <w:br/>
        <w:t>完成日期：2026 年 7 月 22 日</w:t>
      </w:r>
      <w:r>
        <w:rPr>
          <w:color w:val="6B747C"/>
          <w:sz w:val="22"/>
          <w:lang w:eastAsia="zh-CN"/>
        </w:rPr>
        <w:br/>
      </w:r>
      <w:r>
        <w:rPr>
          <w:lang w:eastAsia="zh-CN"/>
        </w:rPr>
        <w:br w:type="page"/>
      </w:r>
    </w:p>
    <w:p w14:paraId="494685A1" w14:textId="77777777" w:rsidR="003833B2" w:rsidRDefault="00000000">
      <w:pPr>
        <w:pStyle w:val="1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摘要</w:t>
      </w:r>
    </w:p>
    <w:p w14:paraId="31815C43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本文综合前六项课程任务，围绕数据获取、技术指标、规则策略、机器学习建模与组合回测，构建可复现的量化研究路径。研究</w:t>
      </w:r>
      <w:proofErr w:type="gramStart"/>
      <w:r>
        <w:rPr>
          <w:color w:val="25313A"/>
          <w:lang w:eastAsia="zh-CN"/>
        </w:rPr>
        <w:t>比较双均线</w:t>
      </w:r>
      <w:proofErr w:type="gramEnd"/>
      <w:r>
        <w:rPr>
          <w:color w:val="25313A"/>
          <w:lang w:eastAsia="zh-CN"/>
        </w:rPr>
        <w:t>和海龟策略在十只跨行业股票上的样本外表现，并将通用机器学习流程迁移至中证300样本的季度收益排序。结果显示，5日/</w:t>
      </w:r>
      <w:proofErr w:type="gramStart"/>
      <w:r>
        <w:rPr>
          <w:color w:val="25313A"/>
          <w:lang w:eastAsia="zh-CN"/>
        </w:rPr>
        <w:t>15日双均线</w:t>
      </w:r>
      <w:proofErr w:type="gramEnd"/>
      <w:r>
        <w:rPr>
          <w:color w:val="25313A"/>
          <w:lang w:eastAsia="zh-CN"/>
        </w:rPr>
        <w:t>在六成股票上取得正收益，但仅一只跑赢买入持有；海龟策略可降低回撤，却存在明显的标的和参数敏感性。决策树选股组合累计净收益为30.04%，低于48.42%的样本等权基准，平均排序相关亦为负。报告据此认为，策略复杂度不能替代数据时点、样本外检验、基准比较和风险约束，并提出由机器学习选股、趋势确认、波动</w:t>
      </w:r>
      <w:proofErr w:type="gramStart"/>
      <w:r>
        <w:rPr>
          <w:color w:val="25313A"/>
          <w:lang w:eastAsia="zh-CN"/>
        </w:rPr>
        <w:t>率定仓</w:t>
      </w:r>
      <w:proofErr w:type="gramEnd"/>
      <w:r>
        <w:rPr>
          <w:color w:val="25313A"/>
          <w:lang w:eastAsia="zh-CN"/>
        </w:rPr>
        <w:t>与组合监控组成的多策略框架。</w:t>
      </w:r>
    </w:p>
    <w:p w14:paraId="4ABD49F6" w14:textId="77777777" w:rsidR="003833B2" w:rsidRDefault="00000000">
      <w:pPr>
        <w:shd w:val="clear" w:color="auto" w:fill="E8F1F5"/>
        <w:spacing w:before="80" w:after="80"/>
        <w:jc w:val="left"/>
        <w:rPr>
          <w:rFonts w:hint="eastAsia"/>
          <w:lang w:eastAsia="zh-CN"/>
        </w:rPr>
      </w:pPr>
      <w:r>
        <w:rPr>
          <w:b/>
          <w:color w:val="2F6B8A"/>
          <w:lang w:eastAsia="zh-CN"/>
        </w:rPr>
        <w:t>关键词：</w:t>
      </w:r>
      <w:r>
        <w:rPr>
          <w:color w:val="25313A"/>
          <w:lang w:eastAsia="zh-CN"/>
        </w:rPr>
        <w:t>量化交易；趋势跟踪；</w:t>
      </w:r>
      <w:proofErr w:type="gramStart"/>
      <w:r>
        <w:rPr>
          <w:color w:val="25313A"/>
          <w:lang w:eastAsia="zh-CN"/>
        </w:rPr>
        <w:t>双均线</w:t>
      </w:r>
      <w:proofErr w:type="gramEnd"/>
      <w:r>
        <w:rPr>
          <w:color w:val="25313A"/>
          <w:lang w:eastAsia="zh-CN"/>
        </w:rPr>
        <w:t>；海龟策略；机器学习选股；样本</w:t>
      </w:r>
      <w:proofErr w:type="gramStart"/>
      <w:r>
        <w:rPr>
          <w:color w:val="25313A"/>
          <w:lang w:eastAsia="zh-CN"/>
        </w:rPr>
        <w:t>外回测</w:t>
      </w:r>
      <w:proofErr w:type="gramEnd"/>
      <w:r>
        <w:rPr>
          <w:color w:val="25313A"/>
          <w:lang w:eastAsia="zh-CN"/>
        </w:rPr>
        <w:t>；风险管理</w:t>
      </w:r>
    </w:p>
    <w:p w14:paraId="5ACB311E" w14:textId="77777777" w:rsidR="003833B2" w:rsidRDefault="00000000">
      <w:pPr>
        <w:pStyle w:val="1"/>
        <w:jc w:val="left"/>
      </w:pPr>
      <w:proofErr w:type="spellStart"/>
      <w:r>
        <w:rPr>
          <w:rFonts w:ascii="黑体" w:eastAsia="黑体" w:hAnsi="黑体"/>
        </w:rPr>
        <w:t>目录</w:t>
      </w:r>
      <w:proofErr w:type="spellEnd"/>
    </w:p>
    <w:tbl>
      <w:tblPr>
        <w:tblStyle w:val="aff1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50"/>
        <w:gridCol w:w="875"/>
      </w:tblGrid>
      <w:tr w:rsidR="003833B2" w14:paraId="16BF72A1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2211" w14:textId="77777777" w:rsidR="003833B2" w:rsidRDefault="00000000">
            <w:pPr>
              <w:spacing w:after="20" w:line="288" w:lineRule="auto"/>
              <w:jc w:val="lef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摘要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BBAB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2</w:t>
            </w:r>
          </w:p>
        </w:tc>
      </w:tr>
      <w:tr w:rsidR="003833B2" w14:paraId="0620E291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465B" w14:textId="77777777" w:rsidR="003833B2" w:rsidRDefault="00000000">
            <w:pPr>
              <w:spacing w:after="20" w:line="288" w:lineRule="auto"/>
              <w:jc w:val="lef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1 量化交易核心概念与研究框架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EFEB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4</w:t>
            </w:r>
          </w:p>
        </w:tc>
      </w:tr>
      <w:tr w:rsidR="003833B2" w14:paraId="7F0EFC31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8023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1.1 从数据到决策的完整链条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7FAD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4</w:t>
            </w:r>
          </w:p>
        </w:tc>
      </w:tr>
      <w:tr w:rsidR="003833B2" w14:paraId="02BD8E12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D6AA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1.2 核心价值、评价原则与研究边界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2321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4</w:t>
            </w:r>
          </w:p>
        </w:tc>
      </w:tr>
      <w:tr w:rsidR="003833B2" w14:paraId="25897F29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FD4A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1.3 六项任务形成的递进式学习路线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D4EE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5</w:t>
            </w:r>
          </w:p>
        </w:tc>
      </w:tr>
      <w:tr w:rsidR="003833B2" w14:paraId="6571D45D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136D" w14:textId="77777777" w:rsidR="003833B2" w:rsidRDefault="00000000">
            <w:pPr>
              <w:spacing w:after="20" w:line="288" w:lineRule="auto"/>
              <w:jc w:val="left"/>
              <w:rPr>
                <w:rFonts w:hint="eastAsia"/>
                <w:lang w:eastAsia="zh-CN"/>
              </w:rPr>
            </w:pPr>
            <w:r>
              <w:rPr>
                <w:b/>
                <w:color w:val="25313A"/>
                <w:sz w:val="20"/>
                <w:lang w:eastAsia="zh-CN"/>
              </w:rPr>
              <w:t>2 量化交易策略综合分析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F3AB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6</w:t>
            </w:r>
          </w:p>
        </w:tc>
      </w:tr>
      <w:tr w:rsidR="003833B2" w14:paraId="75AA28B3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EDB1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2.1 技术指标是信息压缩工具而非独立答案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8D72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6</w:t>
            </w:r>
          </w:p>
        </w:tc>
      </w:tr>
      <w:tr w:rsidR="003833B2" w14:paraId="5F4FAE16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5683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 xml:space="preserve">2.2 </w:t>
            </w:r>
            <w:proofErr w:type="gramStart"/>
            <w:r>
              <w:rPr>
                <w:color w:val="25313A"/>
                <w:sz w:val="19"/>
                <w:lang w:eastAsia="zh-CN"/>
              </w:rPr>
              <w:t>双均线</w:t>
            </w:r>
            <w:proofErr w:type="gramEnd"/>
            <w:r>
              <w:rPr>
                <w:color w:val="25313A"/>
                <w:sz w:val="19"/>
                <w:lang w:eastAsia="zh-CN"/>
              </w:rPr>
              <w:t>策略具有趋势捕捉能力但超额收益不足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A041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6</w:t>
            </w:r>
          </w:p>
        </w:tc>
      </w:tr>
      <w:tr w:rsidR="003833B2" w14:paraId="02674786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5EFB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2.3 海龟策略以风险预算换取更平稳的损失路径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869E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8</w:t>
            </w:r>
          </w:p>
        </w:tc>
      </w:tr>
      <w:tr w:rsidR="003833B2" w14:paraId="65CC7644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9747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2.4 不同策略的适用场景、关联性与互补性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5017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9</w:t>
            </w:r>
          </w:p>
        </w:tc>
      </w:tr>
      <w:tr w:rsidR="003833B2" w14:paraId="3A6B892E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0EE7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2.5 多策略量化交易系统的构建思路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ABF4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10</w:t>
            </w:r>
          </w:p>
        </w:tc>
      </w:tr>
      <w:tr w:rsidR="003833B2" w14:paraId="04DEC232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85DF" w14:textId="77777777" w:rsidR="003833B2" w:rsidRDefault="00000000">
            <w:pPr>
              <w:spacing w:after="20" w:line="288" w:lineRule="auto"/>
              <w:jc w:val="left"/>
              <w:rPr>
                <w:rFonts w:hint="eastAsia"/>
                <w:lang w:eastAsia="zh-CN"/>
              </w:rPr>
            </w:pPr>
            <w:r>
              <w:rPr>
                <w:b/>
                <w:color w:val="25313A"/>
                <w:sz w:val="20"/>
                <w:lang w:eastAsia="zh-CN"/>
              </w:rPr>
              <w:t>3 机器学习在量化交易中的应用总结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A5E2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11</w:t>
            </w:r>
          </w:p>
        </w:tc>
      </w:tr>
      <w:tr w:rsidR="003833B2" w14:paraId="449B64CA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ABA3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3.1 从通用分类实验到金融预测问题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843F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11</w:t>
            </w:r>
          </w:p>
        </w:tc>
      </w:tr>
      <w:tr w:rsidR="003833B2" w14:paraId="5B3A5621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759F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3.2 数据预处理、特征工程与防止信息泄漏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1F3E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12</w:t>
            </w:r>
          </w:p>
        </w:tc>
      </w:tr>
      <w:tr w:rsidR="003833B2" w14:paraId="5628D9C7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0A33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3.3 模型选择、训练与评价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3B0A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12</w:t>
            </w:r>
          </w:p>
        </w:tc>
      </w:tr>
      <w:tr w:rsidR="003833B2" w14:paraId="1FBBE0BC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9DE7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3.4 机器学习选</w:t>
            </w:r>
            <w:proofErr w:type="gramStart"/>
            <w:r>
              <w:rPr>
                <w:color w:val="25313A"/>
                <w:sz w:val="19"/>
                <w:lang w:eastAsia="zh-CN"/>
              </w:rPr>
              <w:t>股取得</w:t>
            </w:r>
            <w:proofErr w:type="gramEnd"/>
            <w:r>
              <w:rPr>
                <w:color w:val="25313A"/>
                <w:sz w:val="19"/>
                <w:lang w:eastAsia="zh-CN"/>
              </w:rPr>
              <w:t>正收益但未形成稳定超额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955E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13</w:t>
            </w:r>
          </w:p>
        </w:tc>
      </w:tr>
      <w:tr w:rsidR="003833B2" w14:paraId="72AC75F5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5EDF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  <w:lang w:eastAsia="zh-CN"/>
              </w:rPr>
            </w:pPr>
            <w:r>
              <w:rPr>
                <w:color w:val="25313A"/>
                <w:sz w:val="19"/>
                <w:lang w:eastAsia="zh-CN"/>
              </w:rPr>
              <w:t>3.5 机器学习的优势、局限与发展趋势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4AEE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15</w:t>
            </w:r>
          </w:p>
        </w:tc>
      </w:tr>
      <w:tr w:rsidR="003833B2" w14:paraId="623EBD5A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2E9D" w14:textId="77777777" w:rsidR="003833B2" w:rsidRDefault="00000000">
            <w:pPr>
              <w:spacing w:after="20" w:line="288" w:lineRule="auto"/>
              <w:jc w:val="lef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4 结论与展望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2B8F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16</w:t>
            </w:r>
          </w:p>
        </w:tc>
      </w:tr>
      <w:tr w:rsidR="003833B2" w14:paraId="79CCC5B6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0C94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</w:rPr>
            </w:pPr>
            <w:r>
              <w:rPr>
                <w:color w:val="25313A"/>
                <w:sz w:val="19"/>
              </w:rPr>
              <w:lastRenderedPageBreak/>
              <w:t>4.1 主要结论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3CF1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16</w:t>
            </w:r>
          </w:p>
        </w:tc>
      </w:tr>
      <w:tr w:rsidR="003833B2" w14:paraId="517FC2B5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C0FE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</w:rPr>
            </w:pPr>
            <w:r>
              <w:rPr>
                <w:color w:val="25313A"/>
                <w:sz w:val="19"/>
              </w:rPr>
              <w:t>4.2 学习收获与能力提升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9D13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16</w:t>
            </w:r>
          </w:p>
        </w:tc>
      </w:tr>
      <w:tr w:rsidR="003833B2" w14:paraId="10AB792C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8DAB" w14:textId="77777777" w:rsidR="003833B2" w:rsidRDefault="00000000">
            <w:pPr>
              <w:spacing w:after="20" w:line="288" w:lineRule="auto"/>
              <w:ind w:left="369"/>
              <w:jc w:val="left"/>
              <w:rPr>
                <w:rFonts w:hint="eastAsia"/>
              </w:rPr>
            </w:pPr>
            <w:r>
              <w:rPr>
                <w:color w:val="25313A"/>
                <w:sz w:val="19"/>
              </w:rPr>
              <w:t>4.3 后续研究计划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B2E2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color w:val="25313A"/>
                <w:sz w:val="19"/>
              </w:rPr>
              <w:t>16</w:t>
            </w:r>
          </w:p>
        </w:tc>
      </w:tr>
      <w:tr w:rsidR="003833B2" w14:paraId="005CF60F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4435" w14:textId="77777777" w:rsidR="003833B2" w:rsidRDefault="00000000">
            <w:pPr>
              <w:spacing w:after="20" w:line="288" w:lineRule="auto"/>
              <w:jc w:val="lef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参考文献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7A13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16</w:t>
            </w:r>
          </w:p>
        </w:tc>
      </w:tr>
      <w:tr w:rsidR="003833B2" w14:paraId="4DDF69F2" w14:textId="77777777">
        <w:trPr>
          <w:cantSplit/>
        </w:trPr>
        <w:tc>
          <w:tcPr>
            <w:tcW w:w="8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580C" w14:textId="77777777" w:rsidR="003833B2" w:rsidRDefault="00000000">
            <w:pPr>
              <w:spacing w:after="20" w:line="288" w:lineRule="auto"/>
              <w:jc w:val="lef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附录 改进建议</w:t>
            </w:r>
          </w:p>
        </w:tc>
        <w:tc>
          <w:tcPr>
            <w:tcW w:w="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797D" w14:textId="77777777" w:rsidR="003833B2" w:rsidRDefault="00000000">
            <w:pPr>
              <w:spacing w:after="20" w:line="288" w:lineRule="auto"/>
              <w:jc w:val="right"/>
              <w:rPr>
                <w:rFonts w:hint="eastAsia"/>
              </w:rPr>
            </w:pPr>
            <w:r>
              <w:rPr>
                <w:b/>
                <w:color w:val="25313A"/>
                <w:sz w:val="20"/>
              </w:rPr>
              <w:t>17</w:t>
            </w:r>
          </w:p>
        </w:tc>
      </w:tr>
    </w:tbl>
    <w:p w14:paraId="0EF046B1" w14:textId="77777777" w:rsidR="003833B2" w:rsidRDefault="00000000">
      <w:pPr>
        <w:rPr>
          <w:rFonts w:hint="eastAsia"/>
        </w:rPr>
      </w:pPr>
      <w:r>
        <w:br w:type="page"/>
      </w:r>
    </w:p>
    <w:p w14:paraId="32D4A0F6" w14:textId="77777777" w:rsidR="003833B2" w:rsidRDefault="00000000">
      <w:pPr>
        <w:pStyle w:val="1"/>
        <w:jc w:val="left"/>
      </w:pPr>
      <w:r>
        <w:rPr>
          <w:rFonts w:ascii="黑体" w:eastAsia="黑体" w:hAnsi="黑体"/>
        </w:rPr>
        <w:lastRenderedPageBreak/>
        <w:t>1 量化交易核心概念与研究框架</w:t>
      </w:r>
    </w:p>
    <w:p w14:paraId="222FBABC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1.1 从数据到决策的完整链条</w:t>
      </w:r>
    </w:p>
    <w:p w14:paraId="1C1B8F12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量化交易是把投资假设转化为可计算、可执行和</w:t>
      </w:r>
      <w:proofErr w:type="gramStart"/>
      <w:r>
        <w:rPr>
          <w:color w:val="25313A"/>
          <w:lang w:eastAsia="zh-CN"/>
        </w:rPr>
        <w:t>可</w:t>
      </w:r>
      <w:proofErr w:type="gramEnd"/>
      <w:r>
        <w:rPr>
          <w:color w:val="25313A"/>
          <w:lang w:eastAsia="zh-CN"/>
        </w:rPr>
        <w:t>检验规则的研究与交易方法。完整过程并不止于生成买卖信号，而是从数据获取和清洗开始，经由特征或指标构造、信号生成、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配置、成本建模、</w:t>
      </w:r>
      <w:proofErr w:type="gramStart"/>
      <w:r>
        <w:rPr>
          <w:color w:val="25313A"/>
          <w:lang w:eastAsia="zh-CN"/>
        </w:rPr>
        <w:t>回测评价</w:t>
      </w:r>
      <w:proofErr w:type="gramEnd"/>
      <w:r>
        <w:rPr>
          <w:color w:val="25313A"/>
          <w:lang w:eastAsia="zh-CN"/>
        </w:rPr>
        <w:t>，再进入模拟执行和持续监控。任何一个环节出现时间错位、数据遗漏或口径不一致，都可能让表面优秀的结果失去可信度。</w:t>
      </w:r>
    </w:p>
    <w:p w14:paraId="684C7808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TASK1以寒武纪日线为例，保存了未复权</w:t>
      </w:r>
      <w:proofErr w:type="gramStart"/>
      <w:r>
        <w:rPr>
          <w:color w:val="25313A"/>
          <w:lang w:eastAsia="zh-CN"/>
        </w:rPr>
        <w:t>与前复权</w:t>
      </w:r>
      <w:proofErr w:type="gramEnd"/>
      <w:r>
        <w:rPr>
          <w:color w:val="25313A"/>
          <w:lang w:eastAsia="zh-CN"/>
        </w:rPr>
        <w:t>价格，共242个交易日，覆盖2025年7月4日至2026年7月3日。复权处理使跨分红送</w:t>
      </w:r>
      <w:proofErr w:type="gramStart"/>
      <w:r>
        <w:rPr>
          <w:color w:val="25313A"/>
          <w:lang w:eastAsia="zh-CN"/>
        </w:rPr>
        <w:t>转时期</w:t>
      </w:r>
      <w:proofErr w:type="gramEnd"/>
      <w:r>
        <w:rPr>
          <w:color w:val="25313A"/>
          <w:lang w:eastAsia="zh-CN"/>
        </w:rPr>
        <w:t>的收益计算保持连续。TASK2进一步对平安集团和三一重工的本地行情进行</w:t>
      </w:r>
      <w:proofErr w:type="gramStart"/>
      <w:r>
        <w:rPr>
          <w:color w:val="25313A"/>
          <w:lang w:eastAsia="zh-CN"/>
        </w:rPr>
        <w:t>缺失值检查</w:t>
      </w:r>
      <w:proofErr w:type="gramEnd"/>
      <w:r>
        <w:rPr>
          <w:color w:val="25313A"/>
          <w:lang w:eastAsia="zh-CN"/>
        </w:rPr>
        <w:t>和描述性统计，共形成18条</w:t>
      </w:r>
      <w:proofErr w:type="gramStart"/>
      <w:r>
        <w:rPr>
          <w:color w:val="25313A"/>
          <w:lang w:eastAsia="zh-CN"/>
        </w:rPr>
        <w:t>字段级统计</w:t>
      </w:r>
      <w:proofErr w:type="gramEnd"/>
      <w:r>
        <w:rPr>
          <w:color w:val="25313A"/>
          <w:lang w:eastAsia="zh-CN"/>
        </w:rPr>
        <w:t>记录，并计算相对强弱、指数平滑异同移动平均、布林带和平均真实波幅等指标。两项任务共同说明，量化策略首先是一项数据工程工作。</w:t>
      </w:r>
    </w:p>
    <w:p w14:paraId="58A5CA95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67373A" wp14:editId="5FBE67B6">
            <wp:extent cx="5472000" cy="2464437"/>
            <wp:effectExtent l="0" t="0" r="0" b="0"/>
            <wp:docPr id="1" name="Picture 1" descr="图1 六项任务形成的量化研究闭环" title="图1 六项任务形成的量化研究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learning_pa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A3BF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图1 六项任务形成的量化研究闭环</w:t>
      </w:r>
    </w:p>
    <w:p w14:paraId="68EBCC9F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1将学习成果重新组织为数据、指标、规则策略、机器学习和组合决策五个阶段。TASK1与TASK2构成数据和特征基础，TASK3与TASK4验证规则策略，TASK5建立机器学习评价流程，TASK6完成金融场景中的模型选股与组合回测。</w:t>
      </w:r>
    </w:p>
    <w:p w14:paraId="3915E1E1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1.2 核心价值、评价原则与研究边界</w:t>
      </w:r>
    </w:p>
    <w:p w14:paraId="178740B8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量化交易的核心价值主要体现在四个方面：第一，用明确规则减少临场情绪对交易决策的影响；第二，使假设可以在历史样本中重复检验；第三，在</w:t>
      </w:r>
      <w:proofErr w:type="gramStart"/>
      <w:r>
        <w:rPr>
          <w:color w:val="25313A"/>
          <w:lang w:eastAsia="zh-CN"/>
        </w:rPr>
        <w:t>多资产</w:t>
      </w:r>
      <w:proofErr w:type="gramEnd"/>
      <w:r>
        <w:rPr>
          <w:color w:val="25313A"/>
          <w:lang w:eastAsia="zh-CN"/>
        </w:rPr>
        <w:t>和多指标环境中保持一致执行；第四，把收益目标与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、回撤和成本约束放在同一框架内。其价值不是保证盈利，而是提高决策的可解释性、纪律性和</w:t>
      </w:r>
      <w:proofErr w:type="gramStart"/>
      <w:r>
        <w:rPr>
          <w:color w:val="25313A"/>
          <w:lang w:eastAsia="zh-CN"/>
        </w:rPr>
        <w:t>可</w:t>
      </w:r>
      <w:proofErr w:type="gramEnd"/>
      <w:r>
        <w:rPr>
          <w:color w:val="25313A"/>
          <w:lang w:eastAsia="zh-CN"/>
        </w:rPr>
        <w:t>审计性。</w:t>
      </w:r>
    </w:p>
    <w:p w14:paraId="3ACA8D5D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评价策略时，本报告遵循“收益、风险、基准、稳定性”四维框架。收益使用累计收益和</w:t>
      </w:r>
      <w:proofErr w:type="gramStart"/>
      <w:r>
        <w:rPr>
          <w:color w:val="25313A"/>
          <w:lang w:eastAsia="zh-CN"/>
        </w:rPr>
        <w:t>年化收益</w:t>
      </w:r>
      <w:proofErr w:type="gramEnd"/>
      <w:r>
        <w:rPr>
          <w:color w:val="25313A"/>
          <w:lang w:eastAsia="zh-CN"/>
        </w:rPr>
        <w:t>描述；风险使用波动率、最大回撤和夏普比率刻画；基准用于回答策略是否比被动持有更</w:t>
      </w:r>
      <w:r>
        <w:rPr>
          <w:color w:val="25313A"/>
          <w:lang w:eastAsia="zh-CN"/>
        </w:rPr>
        <w:lastRenderedPageBreak/>
        <w:t>有效；稳定性则通过样本外区间、</w:t>
      </w:r>
      <w:proofErr w:type="gramStart"/>
      <w:r>
        <w:rPr>
          <w:color w:val="25313A"/>
          <w:lang w:eastAsia="zh-CN"/>
        </w:rPr>
        <w:t>跨股票</w:t>
      </w:r>
      <w:proofErr w:type="gramEnd"/>
      <w:r>
        <w:rPr>
          <w:color w:val="25313A"/>
          <w:lang w:eastAsia="zh-CN"/>
        </w:rPr>
        <w:t>表现、参数敏感性和交易成本情景进行检查。对于机器学习模型，还必须区分预测指标与投资指标：预测排序正确</w:t>
      </w:r>
      <w:proofErr w:type="gramStart"/>
      <w:r>
        <w:rPr>
          <w:color w:val="25313A"/>
          <w:lang w:eastAsia="zh-CN"/>
        </w:rPr>
        <w:t>不</w:t>
      </w:r>
      <w:proofErr w:type="gramEnd"/>
      <w:r>
        <w:rPr>
          <w:color w:val="25313A"/>
          <w:lang w:eastAsia="zh-CN"/>
        </w:rPr>
        <w:t>必然产生可交易的超额收益。</w:t>
      </w:r>
    </w:p>
    <w:p w14:paraId="079DFD4F" w14:textId="77777777" w:rsidR="003833B2" w:rsidRDefault="00000000">
      <w:pPr>
        <w:shd w:val="clear" w:color="auto" w:fill="E8F1F5"/>
        <w:spacing w:before="80" w:after="80"/>
        <w:jc w:val="left"/>
        <w:rPr>
          <w:rFonts w:hint="eastAsia"/>
          <w:lang w:eastAsia="zh-CN"/>
        </w:rPr>
      </w:pPr>
      <w:r>
        <w:rPr>
          <w:b/>
          <w:color w:val="2F6B8A"/>
          <w:lang w:eastAsia="zh-CN"/>
        </w:rPr>
        <w:t>研究边界：</w:t>
      </w:r>
      <w:r>
        <w:rPr>
          <w:color w:val="25313A"/>
          <w:lang w:eastAsia="zh-CN"/>
        </w:rPr>
        <w:t>TASK3与TASK4使用相同的十只股票和相近样本区间，但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机制不同；TASK6使用不同股票池和季度频率。因此本报告比较的是方法机制与样本外证据，不把三类策略的累计收益直接做横向排名。</w:t>
      </w:r>
    </w:p>
    <w:p w14:paraId="530B6EFA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1.3 六项任务形成的递进式学习路线</w:t>
      </w:r>
    </w:p>
    <w:p w14:paraId="78AD5E42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</w:rPr>
      </w:pPr>
      <w:r>
        <w:t>表1 TASK1-TASK6的学习成果与报告角色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2600"/>
        <w:gridCol w:w="5375"/>
      </w:tblGrid>
      <w:tr w:rsidR="003833B2" w14:paraId="750868CB" w14:textId="77777777">
        <w:trPr>
          <w:cantSplit/>
          <w:tblHeader/>
        </w:trPr>
        <w:tc>
          <w:tcPr>
            <w:tcW w:w="10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0A5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任务</w:t>
            </w:r>
          </w:p>
        </w:tc>
        <w:tc>
          <w:tcPr>
            <w:tcW w:w="26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183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主要内容</w:t>
            </w:r>
          </w:p>
        </w:tc>
        <w:tc>
          <w:tcPr>
            <w:tcW w:w="537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34A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形成的能力</w:t>
            </w:r>
          </w:p>
        </w:tc>
      </w:tr>
      <w:tr w:rsidR="003833B2" w14:paraId="605422F6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1F31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TASK1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86E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行情获取与复权</w:t>
            </w:r>
          </w:p>
        </w:tc>
        <w:tc>
          <w:tcPr>
            <w:tcW w:w="5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E9B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理解数据来源、复权和</w:t>
            </w:r>
            <w:proofErr w:type="gramStart"/>
            <w:r>
              <w:rPr>
                <w:color w:val="25313A"/>
                <w:sz w:val="17"/>
                <w:lang w:eastAsia="zh-CN"/>
              </w:rPr>
              <w:t>可</w:t>
            </w:r>
            <w:proofErr w:type="gramEnd"/>
            <w:r>
              <w:rPr>
                <w:color w:val="25313A"/>
                <w:sz w:val="17"/>
                <w:lang w:eastAsia="zh-CN"/>
              </w:rPr>
              <w:t>复现保存</w:t>
            </w:r>
          </w:p>
        </w:tc>
      </w:tr>
      <w:tr w:rsidR="003833B2" w14:paraId="778CD218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1448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TASK2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CA9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技术指标与质量检查</w:t>
            </w:r>
          </w:p>
        </w:tc>
        <w:tc>
          <w:tcPr>
            <w:tcW w:w="5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260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把价格和成交信息转化为可解释指标</w:t>
            </w:r>
          </w:p>
        </w:tc>
      </w:tr>
      <w:tr w:rsidR="003833B2" w14:paraId="56FB05F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EBD6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TASK3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5A2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双均线趋势策略</w:t>
            </w:r>
          </w:p>
        </w:tc>
        <w:tc>
          <w:tcPr>
            <w:tcW w:w="5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ECF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掌握信号延迟、成本和样本</w:t>
            </w:r>
            <w:proofErr w:type="gramStart"/>
            <w:r>
              <w:rPr>
                <w:color w:val="25313A"/>
                <w:sz w:val="17"/>
                <w:lang w:eastAsia="zh-CN"/>
              </w:rPr>
              <w:t>外比较</w:t>
            </w:r>
            <w:proofErr w:type="gramEnd"/>
          </w:p>
        </w:tc>
      </w:tr>
      <w:tr w:rsidR="003833B2" w14:paraId="1916C3D5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AC93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TASK4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724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海龟突破与风险定仓</w:t>
            </w:r>
          </w:p>
        </w:tc>
        <w:tc>
          <w:tcPr>
            <w:tcW w:w="5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A0D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把波动率、止损和风险预算纳入策略</w:t>
            </w:r>
          </w:p>
        </w:tc>
      </w:tr>
      <w:tr w:rsidR="003833B2" w14:paraId="5A116EB4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86CB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TASK5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C70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通用机器学习分类</w:t>
            </w:r>
          </w:p>
        </w:tc>
        <w:tc>
          <w:tcPr>
            <w:tcW w:w="5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401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建立预处理、训练、评价与过拟合检查流程</w:t>
            </w:r>
          </w:p>
        </w:tc>
      </w:tr>
      <w:tr w:rsidR="003833B2" w14:paraId="64CE15F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C4E2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TASK6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F59C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机器学习季度选股</w:t>
            </w:r>
          </w:p>
        </w:tc>
        <w:tc>
          <w:tcPr>
            <w:tcW w:w="5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1D8A" w14:textId="77777777" w:rsidR="003833B2" w:rsidRDefault="00000000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完成金融特征、时间划分、</w:t>
            </w:r>
            <w:proofErr w:type="gramStart"/>
            <w:r>
              <w:rPr>
                <w:color w:val="25313A"/>
                <w:sz w:val="17"/>
                <w:lang w:eastAsia="zh-CN"/>
              </w:rPr>
              <w:t>组合回测与</w:t>
            </w:r>
            <w:proofErr w:type="gramEnd"/>
            <w:r>
              <w:rPr>
                <w:color w:val="25313A"/>
                <w:sz w:val="17"/>
                <w:lang w:eastAsia="zh-CN"/>
              </w:rPr>
              <w:t>成本敏感性</w:t>
            </w:r>
          </w:p>
        </w:tc>
      </w:tr>
    </w:tbl>
    <w:p w14:paraId="512E8977" w14:textId="77777777" w:rsidR="003833B2" w:rsidRDefault="003833B2">
      <w:pPr>
        <w:spacing w:after="40" w:line="240" w:lineRule="auto"/>
        <w:rPr>
          <w:rFonts w:hint="eastAsia"/>
          <w:lang w:eastAsia="zh-CN"/>
        </w:rPr>
      </w:pPr>
    </w:p>
    <w:p w14:paraId="015C6C0E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表1体现了从单项工具到完整研究系统的递进关系。前两项任务解决“数据能否使用”，中间两项解决“规则能否执行”，后两项解决“模型能否泛化并转化为组合收益”。这种组织方式也构成后文的直线型行文逻辑。</w:t>
      </w:r>
    </w:p>
    <w:p w14:paraId="51AA160C" w14:textId="77777777" w:rsidR="003833B2" w:rsidRDefault="00000000">
      <w:pPr>
        <w:pStyle w:val="1"/>
        <w:pageBreakBefore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 量化交易策略综合分析</w:t>
      </w:r>
    </w:p>
    <w:p w14:paraId="051CB6B6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2.1 技术指标是信息压缩工具而非独立答案</w:t>
      </w:r>
    </w:p>
    <w:p w14:paraId="399A15B8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TASK2中的相对强弱指标反映上涨与下跌动能的相对强度，指数平滑异同移动平均用于观察趋势动量，布林带描述价格相对均值和波动区间的位置，平均真实波幅则衡量价格波动而</w:t>
      </w:r>
      <w:proofErr w:type="gramStart"/>
      <w:r>
        <w:rPr>
          <w:color w:val="25313A"/>
          <w:lang w:eastAsia="zh-CN"/>
        </w:rPr>
        <w:t>不判断</w:t>
      </w:r>
      <w:proofErr w:type="gramEnd"/>
      <w:r>
        <w:rPr>
          <w:color w:val="25313A"/>
          <w:lang w:eastAsia="zh-CN"/>
        </w:rPr>
        <w:t>方向。这些指标把长序列压缩为</w:t>
      </w:r>
      <w:proofErr w:type="gramStart"/>
      <w:r>
        <w:rPr>
          <w:color w:val="25313A"/>
          <w:lang w:eastAsia="zh-CN"/>
        </w:rPr>
        <w:t>易解释</w:t>
      </w:r>
      <w:proofErr w:type="gramEnd"/>
      <w:r>
        <w:rPr>
          <w:color w:val="25313A"/>
          <w:lang w:eastAsia="zh-CN"/>
        </w:rPr>
        <w:t>的状态变量，但都存在滞后、参数依赖或市场状态敏感性，因此不应把单一阈值机械理解为确定买卖指令。</w:t>
      </w:r>
    </w:p>
    <w:p w14:paraId="6740171F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从后续任务看，技术指标有三种更合理的使用方式：作为规则策略的组成部分、作为风险管理尺度、作为机器学习特征。</w:t>
      </w:r>
      <w:proofErr w:type="gramStart"/>
      <w:r>
        <w:rPr>
          <w:color w:val="25313A"/>
          <w:lang w:eastAsia="zh-CN"/>
        </w:rPr>
        <w:t>双均线</w:t>
      </w:r>
      <w:proofErr w:type="gramEnd"/>
      <w:r>
        <w:rPr>
          <w:color w:val="25313A"/>
          <w:lang w:eastAsia="zh-CN"/>
        </w:rPr>
        <w:t>将移动平均转化</w:t>
      </w:r>
      <w:proofErr w:type="gramStart"/>
      <w:r>
        <w:rPr>
          <w:color w:val="25313A"/>
          <w:lang w:eastAsia="zh-CN"/>
        </w:rPr>
        <w:t>为趋势</w:t>
      </w:r>
      <w:proofErr w:type="gramEnd"/>
      <w:r>
        <w:rPr>
          <w:color w:val="25313A"/>
          <w:lang w:eastAsia="zh-CN"/>
        </w:rPr>
        <w:t>方向信号；海龟策略用平均真实波幅确定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和止损距离；TASK6则将动量、趋势、风险和流动性变量共同输入模型。由此，指标的价值来自其在</w:t>
      </w:r>
      <w:proofErr w:type="gramStart"/>
      <w:r>
        <w:rPr>
          <w:color w:val="25313A"/>
          <w:lang w:eastAsia="zh-CN"/>
        </w:rPr>
        <w:t>完整决策</w:t>
      </w:r>
      <w:proofErr w:type="gramEnd"/>
      <w:r>
        <w:rPr>
          <w:color w:val="25313A"/>
          <w:lang w:eastAsia="zh-CN"/>
        </w:rPr>
        <w:t>链中的功能，而不是指标名称本身。</w:t>
      </w:r>
    </w:p>
    <w:p w14:paraId="20C3F3F4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 xml:space="preserve">2.2 </w:t>
      </w:r>
      <w:proofErr w:type="gramStart"/>
      <w:r>
        <w:rPr>
          <w:rFonts w:ascii="黑体" w:eastAsia="黑体" w:hAnsi="黑体"/>
          <w:lang w:eastAsia="zh-CN"/>
        </w:rPr>
        <w:t>双均线</w:t>
      </w:r>
      <w:proofErr w:type="gramEnd"/>
      <w:r>
        <w:rPr>
          <w:rFonts w:ascii="黑体" w:eastAsia="黑体" w:hAnsi="黑体"/>
          <w:lang w:eastAsia="zh-CN"/>
        </w:rPr>
        <w:t>策略具有趋势捕捉能力但超额收益不足</w:t>
      </w:r>
    </w:p>
    <w:p w14:paraId="18729C81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TASK3在五个行业、十只股票上</w:t>
      </w:r>
      <w:proofErr w:type="gramStart"/>
      <w:r>
        <w:rPr>
          <w:color w:val="25313A"/>
          <w:lang w:eastAsia="zh-CN"/>
        </w:rPr>
        <w:t>实施双均线</w:t>
      </w:r>
      <w:proofErr w:type="gramEnd"/>
      <w:r>
        <w:rPr>
          <w:color w:val="25313A"/>
          <w:lang w:eastAsia="zh-CN"/>
        </w:rPr>
        <w:t>策略。信号在收盘后生成，下一交易日才应用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，并计入单边0.1%的综合交易成本，从而避免把信号当日已经发生的收益错误计入策略。默认5日/15日参数在样本外的累计收益中位数为31.9%，夏普比率中位数为0.57，最大回撤中位数为-27.6%；60%的股票取得正收益，但只有10%跑赢对应的买入持有基准。</w:t>
      </w:r>
    </w:p>
    <w:p w14:paraId="7FEAB190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9DA170" wp14:editId="084703E2">
            <wp:extent cx="5472000" cy="4255240"/>
            <wp:effectExtent l="0" t="0" r="0" b="0"/>
            <wp:docPr id="2" name="Picture 2" descr="图2 5日/15日双均线策略与买入持有基准" title="图2 5日/15日双均线策略与买入持有基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ma_retu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E40F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图2 5日/</w:t>
      </w:r>
      <w:proofErr w:type="gramStart"/>
      <w:r>
        <w:rPr>
          <w:lang w:eastAsia="zh-CN"/>
        </w:rPr>
        <w:t>15日双均线</w:t>
      </w:r>
      <w:proofErr w:type="gramEnd"/>
      <w:r>
        <w:rPr>
          <w:lang w:eastAsia="zh-CN"/>
        </w:rPr>
        <w:t>策略与买入持有基准</w:t>
      </w:r>
    </w:p>
    <w:p w14:paraId="5BFC124D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2直接展示策略和基准的样本外累计收益。长电科技、宁德时代等标的上的策略收益为正，但多数情况下仍落后于买入持有；贵州茅台和五粮液等标的则出现负收益。该结果说明“避免部分下跌”和“创造稳定超额收益”是两个不同问题。</w:t>
      </w:r>
    </w:p>
    <w:p w14:paraId="705701AA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表2 </w:t>
      </w:r>
      <w:proofErr w:type="gramStart"/>
      <w:r>
        <w:rPr>
          <w:lang w:eastAsia="zh-CN"/>
        </w:rPr>
        <w:t>双均线</w:t>
      </w:r>
      <w:proofErr w:type="gramEnd"/>
      <w:r>
        <w:rPr>
          <w:lang w:eastAsia="zh-CN"/>
        </w:rPr>
        <w:t>参数的样本</w:t>
      </w:r>
      <w:proofErr w:type="gramStart"/>
      <w:r>
        <w:rPr>
          <w:lang w:eastAsia="zh-CN"/>
        </w:rPr>
        <w:t>外跨股票</w:t>
      </w:r>
      <w:proofErr w:type="gramEnd"/>
      <w:r>
        <w:rPr>
          <w:lang w:eastAsia="zh-CN"/>
        </w:rPr>
        <w:t>中位表现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1350"/>
        <w:gridCol w:w="1500"/>
        <w:gridCol w:w="1550"/>
        <w:gridCol w:w="1625"/>
      </w:tblGrid>
      <w:tr w:rsidR="003833B2" w14:paraId="18152300" w14:textId="77777777">
        <w:trPr>
          <w:cantSplit/>
          <w:tblHeader/>
        </w:trPr>
        <w:tc>
          <w:tcPr>
            <w:tcW w:w="15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D3F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5313A"/>
                <w:sz w:val="17"/>
              </w:rPr>
              <w:t>均线窗口</w:t>
            </w:r>
            <w:proofErr w:type="spellEnd"/>
          </w:p>
        </w:tc>
        <w:tc>
          <w:tcPr>
            <w:tcW w:w="15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724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累计收益</w:t>
            </w:r>
          </w:p>
        </w:tc>
        <w:tc>
          <w:tcPr>
            <w:tcW w:w="13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464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夏普比率</w:t>
            </w:r>
          </w:p>
        </w:tc>
        <w:tc>
          <w:tcPr>
            <w:tcW w:w="15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802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最大回撤</w:t>
            </w:r>
          </w:p>
        </w:tc>
        <w:tc>
          <w:tcPr>
            <w:tcW w:w="15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70F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正收益占比</w:t>
            </w:r>
          </w:p>
        </w:tc>
        <w:tc>
          <w:tcPr>
            <w:tcW w:w="162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01D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买入次数</w:t>
            </w:r>
          </w:p>
        </w:tc>
      </w:tr>
      <w:tr w:rsidR="003833B2" w14:paraId="4D93472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74D1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5日/15日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612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31.9%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C5F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0.57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B85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-27.6%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E33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60%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319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23.5</w:t>
            </w:r>
          </w:p>
        </w:tc>
      </w:tr>
      <w:tr w:rsidR="003833B2" w14:paraId="6296E40B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0426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20日/60日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F80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18.7%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FBC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0.41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E59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-26.5%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2D2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60%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97E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6.5</w:t>
            </w:r>
          </w:p>
        </w:tc>
      </w:tr>
      <w:tr w:rsidR="003833B2" w14:paraId="24E54A6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5363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10日/30日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CB3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17.3%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E28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0.39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2D9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-28.2%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D9B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70%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D4C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12.0</w:t>
            </w:r>
          </w:p>
        </w:tc>
      </w:tr>
      <w:tr w:rsidR="003833B2" w14:paraId="1E93711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49A7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10日/20日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3A0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15.8%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C8E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0.36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518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-28.7%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D14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60%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5D9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17.5</w:t>
            </w:r>
          </w:p>
        </w:tc>
      </w:tr>
      <w:tr w:rsidR="003833B2" w14:paraId="5318C090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C70B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5日/10日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A73F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4.9%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E2D8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0.21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52D6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-27.2%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9177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60%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6522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32.0</w:t>
            </w:r>
          </w:p>
        </w:tc>
      </w:tr>
    </w:tbl>
    <w:p w14:paraId="77A02DD9" w14:textId="77777777" w:rsidR="003833B2" w:rsidRDefault="003833B2">
      <w:pPr>
        <w:spacing w:after="40" w:line="240" w:lineRule="auto"/>
        <w:rPr>
          <w:rFonts w:hint="eastAsia"/>
        </w:rPr>
      </w:pPr>
    </w:p>
    <w:p w14:paraId="570BE05B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表2显示，5日/15日参数在当前股票池上的夏普比率中位数最高，但不同参数的排序并不构成未来最优证明。短周期信号更灵敏、交易次数更多，也更容易受到震荡噪声和交易成本影响；长周期信号较平滑，但会延迟进入和退出。</w:t>
      </w:r>
    </w:p>
    <w:p w14:paraId="7DAAED14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6C9F70" wp14:editId="0D2D5738">
            <wp:extent cx="5472000" cy="3787564"/>
            <wp:effectExtent l="0" t="0" r="0" b="0"/>
            <wp:docPr id="3" name="Picture 3" descr="图3 双均线参数的样本外夏普比率" title="图3 双均线参数的样本外夏普比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ma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8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194B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图3 </w:t>
      </w:r>
      <w:proofErr w:type="gramStart"/>
      <w:r>
        <w:rPr>
          <w:lang w:eastAsia="zh-CN"/>
        </w:rPr>
        <w:t>双均线</w:t>
      </w:r>
      <w:proofErr w:type="gramEnd"/>
      <w:r>
        <w:rPr>
          <w:lang w:eastAsia="zh-CN"/>
        </w:rPr>
        <w:t>参数的样本外夏普比率</w:t>
      </w:r>
    </w:p>
    <w:p w14:paraId="7F1523FD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3进一步揭示股票与参数之间的交互。同一个均线窗口在半导体、新能源、银行和食品饮料股票上的结果可能方向相反，因此从单只股票挑选历史最优参数容易产生数据挖掘偏差。参数选择应优先关注跨标的和滚动样本外稳定性。</w:t>
      </w:r>
    </w:p>
    <w:p w14:paraId="6912A7A1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2.3 海龟策略以风险预算换取更平稳的损失路径</w:t>
      </w:r>
    </w:p>
    <w:p w14:paraId="0BB5BC1C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TASK4使用20日突破入场、10日通道退出、20日平均真实波幅和2倍波动止损。每笔交易的计划风险控制为账户权益的1%，因而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会随波动率上升而下降。默认参数在样本外有70%的股票取得正收益，累计收益中位数为0.6%，夏普比率中位数为0.08，最大回撤中位数为-5.8%，平均风险敞口中位数仅为7.4%。较</w:t>
      </w:r>
      <w:proofErr w:type="gramStart"/>
      <w:r>
        <w:rPr>
          <w:color w:val="25313A"/>
          <w:lang w:eastAsia="zh-CN"/>
        </w:rPr>
        <w:t>低回撤既来自</w:t>
      </w:r>
      <w:proofErr w:type="gramEnd"/>
      <w:r>
        <w:rPr>
          <w:color w:val="25313A"/>
          <w:lang w:eastAsia="zh-CN"/>
        </w:rPr>
        <w:t>止损，也来自较低资金暴露。</w:t>
      </w:r>
    </w:p>
    <w:p w14:paraId="55FE31DF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表3 海龟策略参数的样本</w:t>
      </w:r>
      <w:proofErr w:type="gramStart"/>
      <w:r>
        <w:rPr>
          <w:lang w:eastAsia="zh-CN"/>
        </w:rPr>
        <w:t>外跨股票</w:t>
      </w:r>
      <w:proofErr w:type="gramEnd"/>
      <w:r>
        <w:rPr>
          <w:lang w:eastAsia="zh-CN"/>
        </w:rPr>
        <w:t>中位表现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75"/>
        <w:gridCol w:w="1250"/>
        <w:gridCol w:w="1250"/>
        <w:gridCol w:w="1250"/>
        <w:gridCol w:w="1200"/>
        <w:gridCol w:w="1200"/>
      </w:tblGrid>
      <w:tr w:rsidR="003833B2" w14:paraId="234B80CB" w14:textId="77777777">
        <w:trPr>
          <w:cantSplit/>
          <w:tblHeader/>
        </w:trPr>
        <w:tc>
          <w:tcPr>
            <w:tcW w:w="287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1E9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5313A"/>
                <w:sz w:val="16"/>
              </w:rPr>
              <w:t>参数组合</w:t>
            </w:r>
            <w:proofErr w:type="spellEnd"/>
          </w:p>
        </w:tc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53E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累计收益</w:t>
            </w:r>
          </w:p>
        </w:tc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D47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夏普比率</w:t>
            </w:r>
          </w:p>
        </w:tc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275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最大回撤</w:t>
            </w:r>
          </w:p>
        </w:tc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9C6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正收益占比</w:t>
            </w:r>
          </w:p>
        </w:tc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01E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平均敞口</w:t>
            </w:r>
          </w:p>
        </w:tc>
      </w:tr>
      <w:tr w:rsidR="003833B2" w14:paraId="7E5266C3" w14:textId="77777777">
        <w:trPr>
          <w:cantSplit/>
        </w:trPr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BF38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40日入场/20日退出/2倍止损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882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2.8%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44F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0.30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A64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-5.9%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75C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70%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D1D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7.7%</w:t>
            </w:r>
          </w:p>
        </w:tc>
      </w:tr>
      <w:tr w:rsidR="003833B2" w14:paraId="43BB8B3B" w14:textId="77777777">
        <w:trPr>
          <w:cantSplit/>
        </w:trPr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423F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10日入场/5日退出/1.5倍止损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4B0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3.8%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DA6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0.30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93B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-7.2%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345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60%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CB6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9.1%</w:t>
            </w:r>
          </w:p>
        </w:tc>
      </w:tr>
      <w:tr w:rsidR="003833B2" w14:paraId="59DCF667" w14:textId="77777777">
        <w:trPr>
          <w:cantSplit/>
        </w:trPr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3B97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20日入场/10日退出/3倍止损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CB9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1.4%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975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0.19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2B9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-4.4%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EA9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60%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84A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5.1%</w:t>
            </w:r>
          </w:p>
        </w:tc>
      </w:tr>
      <w:tr w:rsidR="003833B2" w14:paraId="0E75298F" w14:textId="77777777">
        <w:trPr>
          <w:cantSplit/>
        </w:trPr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BC8A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20日入场/10日退出/1.5倍止损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BBE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2.1%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12A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0.19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097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-8.0%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566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60%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7E8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9.2%</w:t>
            </w:r>
          </w:p>
        </w:tc>
      </w:tr>
      <w:tr w:rsidR="003833B2" w14:paraId="0F3C2B81" w14:textId="77777777">
        <w:trPr>
          <w:cantSplit/>
        </w:trPr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19FB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20日入场/10日退出/2倍止损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938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0.6%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06E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0.08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48CE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-5.8%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BBD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70%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DE2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7.4%</w:t>
            </w:r>
          </w:p>
        </w:tc>
      </w:tr>
      <w:tr w:rsidR="003833B2" w14:paraId="61ACC73F" w14:textId="77777777">
        <w:trPr>
          <w:cantSplit/>
        </w:trPr>
        <w:tc>
          <w:tcPr>
            <w:tcW w:w="2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A339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55日入场/20日退出/2倍止损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6D64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-0.7%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6B32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-0.06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3D26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-5.5%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A86F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40%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64B1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6.4%</w:t>
            </w:r>
          </w:p>
        </w:tc>
      </w:tr>
    </w:tbl>
    <w:p w14:paraId="3C6499EC" w14:textId="77777777" w:rsidR="003833B2" w:rsidRDefault="003833B2">
      <w:pPr>
        <w:spacing w:after="40" w:line="240" w:lineRule="auto"/>
        <w:rPr>
          <w:rFonts w:hint="eastAsia"/>
        </w:rPr>
      </w:pPr>
    </w:p>
    <w:p w14:paraId="7A71CAFF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lastRenderedPageBreak/>
        <w:t>表3中，40日入场、20日退出、2倍波动止损的夏普比率中位数相对较高，但它并非对所有股票占优。更长通道可以过滤部分噪声，却可能错过趋势前段；更</w:t>
      </w:r>
      <w:proofErr w:type="gramStart"/>
      <w:r>
        <w:rPr>
          <w:color w:val="25313A"/>
          <w:lang w:eastAsia="zh-CN"/>
        </w:rPr>
        <w:t>窄止损容易</w:t>
      </w:r>
      <w:proofErr w:type="gramEnd"/>
      <w:r>
        <w:rPr>
          <w:color w:val="25313A"/>
          <w:lang w:eastAsia="zh-CN"/>
        </w:rPr>
        <w:t>被正常波动触发，更宽止损则降低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并扩大单笔容忍区间。参数必须与资产波动和组合分散程度共同评价。</w:t>
      </w:r>
    </w:p>
    <w:p w14:paraId="7A8597C9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2.4 不同策略的适用场景、关联性与互补性</w:t>
      </w:r>
    </w:p>
    <w:p w14:paraId="721D03A9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77B66B" wp14:editId="4E9DEDC1">
            <wp:extent cx="5472000" cy="4080929"/>
            <wp:effectExtent l="0" t="0" r="0" b="0"/>
            <wp:docPr id="4" name="Picture 4" descr="图4 相同股票上的规则策略样本外夏普比率" title="图4 相同股票上的规则策略样本外夏普比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strategy_shar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5E28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图4 相同股票上的规则策略样本外夏普比率</w:t>
      </w:r>
    </w:p>
    <w:p w14:paraId="678316CB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图4使用相同股票的样本外夏普比率</w:t>
      </w:r>
      <w:proofErr w:type="gramStart"/>
      <w:r>
        <w:rPr>
          <w:color w:val="25313A"/>
          <w:lang w:eastAsia="zh-CN"/>
        </w:rPr>
        <w:t>比较双均线</w:t>
      </w:r>
      <w:proofErr w:type="gramEnd"/>
      <w:r>
        <w:rPr>
          <w:color w:val="25313A"/>
          <w:lang w:eastAsia="zh-CN"/>
        </w:rPr>
        <w:t>和海龟策略。</w:t>
      </w:r>
      <w:proofErr w:type="gramStart"/>
      <w:r>
        <w:rPr>
          <w:color w:val="25313A"/>
          <w:lang w:eastAsia="zh-CN"/>
        </w:rPr>
        <w:t>双均线收益</w:t>
      </w:r>
      <w:proofErr w:type="gramEnd"/>
      <w:r>
        <w:rPr>
          <w:color w:val="25313A"/>
          <w:lang w:eastAsia="zh-CN"/>
        </w:rPr>
        <w:t>分化更大，海龟策略在多数标的上的数值更接近零。由于两者资金暴露不同，该图主要用于观察稳定性和适用差异，不能视为严格的组合归因实验。</w:t>
      </w:r>
    </w:p>
    <w:p w14:paraId="2B0E6A06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表4 三类策略的优缺点、适用场景与互补角色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500"/>
        <w:gridCol w:w="1650"/>
        <w:gridCol w:w="1550"/>
        <w:gridCol w:w="1700"/>
        <w:gridCol w:w="1375"/>
      </w:tblGrid>
      <w:tr w:rsidR="003833B2" w14:paraId="42D184B2" w14:textId="77777777">
        <w:trPr>
          <w:cantSplit/>
          <w:tblHeader/>
        </w:trPr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40D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5313A"/>
                <w:sz w:val="16"/>
              </w:rPr>
              <w:t>策略</w:t>
            </w:r>
            <w:proofErr w:type="spellEnd"/>
          </w:p>
        </w:tc>
        <w:tc>
          <w:tcPr>
            <w:tcW w:w="15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8D9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信号来源</w:t>
            </w:r>
          </w:p>
        </w:tc>
        <w:tc>
          <w:tcPr>
            <w:tcW w:w="16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758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适用场景</w:t>
            </w:r>
          </w:p>
        </w:tc>
        <w:tc>
          <w:tcPr>
            <w:tcW w:w="15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6A7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主要优点</w:t>
            </w:r>
          </w:p>
        </w:tc>
        <w:tc>
          <w:tcPr>
            <w:tcW w:w="17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D8E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主要局限</w:t>
            </w:r>
          </w:p>
        </w:tc>
        <w:tc>
          <w:tcPr>
            <w:tcW w:w="137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096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系统角色</w:t>
            </w:r>
          </w:p>
        </w:tc>
      </w:tr>
      <w:tr w:rsidR="003833B2" w14:paraId="50E4DDD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824B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双均线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6B1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短长期均线交叉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FDF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6"/>
                <w:lang w:eastAsia="zh-CN"/>
              </w:rPr>
              <w:t>持续趋势、交易成本较低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BD0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13A"/>
                <w:sz w:val="16"/>
              </w:rPr>
              <w:t>规则简单、方向清晰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6B0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6"/>
                <w:lang w:eastAsia="zh-CN"/>
              </w:rPr>
              <w:t>震荡期反复交易、接近全仓</w:t>
            </w:r>
          </w:p>
        </w:tc>
        <w:tc>
          <w:tcPr>
            <w:tcW w:w="1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52F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13A"/>
                <w:sz w:val="16"/>
              </w:rPr>
              <w:t>中期方向过滤</w:t>
            </w:r>
            <w:proofErr w:type="spellEnd"/>
          </w:p>
        </w:tc>
      </w:tr>
      <w:tr w:rsidR="003833B2" w14:paraId="2224D3B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A62B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海龟策略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C5B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价格通道突破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E94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6"/>
                <w:lang w:eastAsia="zh-CN"/>
              </w:rPr>
              <w:t>趋势扩张、可跨资产分散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5DA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6"/>
                <w:lang w:eastAsia="zh-CN"/>
              </w:rPr>
              <w:t>ATR</w:t>
            </w:r>
            <w:proofErr w:type="gramStart"/>
            <w:r>
              <w:rPr>
                <w:color w:val="25313A"/>
                <w:sz w:val="16"/>
                <w:lang w:eastAsia="zh-CN"/>
              </w:rPr>
              <w:t>定仓与</w:t>
            </w:r>
            <w:proofErr w:type="gramEnd"/>
            <w:r>
              <w:rPr>
                <w:color w:val="25313A"/>
                <w:sz w:val="16"/>
                <w:lang w:eastAsia="zh-CN"/>
              </w:rPr>
              <w:t>止损完整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668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13A"/>
                <w:sz w:val="16"/>
              </w:rPr>
              <w:t>低胜率、跳空和成交限制</w:t>
            </w:r>
            <w:proofErr w:type="spellEnd"/>
          </w:p>
        </w:tc>
        <w:tc>
          <w:tcPr>
            <w:tcW w:w="1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E58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入场确认与风险控制</w:t>
            </w:r>
          </w:p>
        </w:tc>
      </w:tr>
      <w:tr w:rsidR="003833B2" w14:paraId="77DF0F80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05DD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机器学习选股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E3F3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多因子横截面排序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B413" w14:textId="77777777" w:rsidR="003833B2" w:rsidRDefault="00000000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6"/>
                <w:lang w:eastAsia="zh-CN"/>
              </w:rPr>
              <w:t>股票数量较多、因子关系稳定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0BBA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13A"/>
                <w:sz w:val="16"/>
              </w:rPr>
              <w:t>可处理非线性和交互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BBB5" w14:textId="77777777" w:rsidR="003833B2" w:rsidRDefault="00000000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6"/>
                <w:lang w:eastAsia="zh-CN"/>
              </w:rPr>
              <w:t>过拟合、漂移和弱可解释性</w:t>
            </w:r>
          </w:p>
        </w:tc>
        <w:tc>
          <w:tcPr>
            <w:tcW w:w="1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E01F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13A"/>
                <w:sz w:val="16"/>
              </w:rPr>
              <w:t>候选股票筛选</w:t>
            </w:r>
            <w:proofErr w:type="spellEnd"/>
          </w:p>
        </w:tc>
      </w:tr>
    </w:tbl>
    <w:p w14:paraId="4362A6A6" w14:textId="77777777" w:rsidR="003833B2" w:rsidRDefault="003833B2">
      <w:pPr>
        <w:spacing w:after="40" w:line="240" w:lineRule="auto"/>
        <w:rPr>
          <w:rFonts w:hint="eastAsia"/>
        </w:rPr>
      </w:pPr>
    </w:p>
    <w:p w14:paraId="3A9FFF9A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三类方法的互补性来自决策维度不同，而不是简单平均收益。机器学习回答“优先持有哪些股票”，</w:t>
      </w:r>
      <w:proofErr w:type="gramStart"/>
      <w:r>
        <w:rPr>
          <w:color w:val="25313A"/>
          <w:lang w:eastAsia="zh-CN"/>
        </w:rPr>
        <w:t>双均线</w:t>
      </w:r>
      <w:proofErr w:type="gramEnd"/>
      <w:r>
        <w:rPr>
          <w:color w:val="25313A"/>
          <w:lang w:eastAsia="zh-CN"/>
        </w:rPr>
        <w:t>回答“中期方向是否允许持有”，海龟突破和平均真实波幅回答“何时确认入场</w:t>
      </w:r>
      <w:r>
        <w:rPr>
          <w:color w:val="25313A"/>
          <w:lang w:eastAsia="zh-CN"/>
        </w:rPr>
        <w:lastRenderedPageBreak/>
        <w:t>以及承担多大风险”。但这种互补关系目前只是结构性假设，必须在统一股票池、交易频率和成本口径下重新回测。</w:t>
      </w:r>
    </w:p>
    <w:p w14:paraId="271D93DC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2.5 多策略量化交易系统的构建思路</w:t>
      </w:r>
    </w:p>
    <w:p w14:paraId="34BE1B64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B6D883" wp14:editId="509CD36F">
            <wp:extent cx="5472000" cy="3017747"/>
            <wp:effectExtent l="0" t="0" r="0" b="0"/>
            <wp:docPr id="5" name="Picture 5" descr="图5 多策略量化交易系统的建议架构" title="图5 多策略量化交易系统的建议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multi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9534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图5 多策略量化交易系统的建议架构</w:t>
      </w:r>
    </w:p>
    <w:p w14:paraId="7BC1EFD6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图5提出五层系统：先使用历史可交易股票池和点</w:t>
      </w:r>
      <w:proofErr w:type="gramStart"/>
      <w:r>
        <w:rPr>
          <w:color w:val="25313A"/>
          <w:lang w:eastAsia="zh-CN"/>
        </w:rPr>
        <w:t>时数据</w:t>
      </w:r>
      <w:proofErr w:type="gramEnd"/>
      <w:r>
        <w:rPr>
          <w:color w:val="25313A"/>
          <w:lang w:eastAsia="zh-CN"/>
        </w:rPr>
        <w:t>建立研究底座，再用机器学习完成横截面筛选，以均线和突破规则过滤逆势信号，用平均真实波幅确定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和止损，最后在组合层监控收益、回撤、换手、相关性和模型漂移。具体实施顺序见附录建议A5。</w:t>
      </w:r>
    </w:p>
    <w:p w14:paraId="5A1ADFFF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表5 多策略系统的模块与职责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050"/>
        <w:gridCol w:w="4775"/>
      </w:tblGrid>
      <w:tr w:rsidR="003833B2" w14:paraId="177B601F" w14:textId="77777777">
        <w:trPr>
          <w:cantSplit/>
          <w:tblHeader/>
        </w:trPr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323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5313A"/>
                <w:sz w:val="17"/>
              </w:rPr>
              <w:t>模块</w:t>
            </w:r>
            <w:proofErr w:type="spellEnd"/>
          </w:p>
        </w:tc>
        <w:tc>
          <w:tcPr>
            <w:tcW w:w="30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8BF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核心输入或工具</w:t>
            </w:r>
          </w:p>
        </w:tc>
        <w:tc>
          <w:tcPr>
            <w:tcW w:w="477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80D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主要职责</w:t>
            </w:r>
          </w:p>
        </w:tc>
      </w:tr>
      <w:tr w:rsidR="003833B2" w14:paraId="335F5EE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3896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数据层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BC9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股票池、行情、公司行为、成交状态</w:t>
            </w:r>
          </w:p>
        </w:tc>
        <w:tc>
          <w:tcPr>
            <w:tcW w:w="4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CE7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保证每个信号</w:t>
            </w:r>
            <w:proofErr w:type="gramStart"/>
            <w:r>
              <w:rPr>
                <w:color w:val="25313A"/>
                <w:sz w:val="17"/>
                <w:lang w:eastAsia="zh-CN"/>
              </w:rPr>
              <w:t>时点只</w:t>
            </w:r>
            <w:proofErr w:type="gramEnd"/>
            <w:r>
              <w:rPr>
                <w:color w:val="25313A"/>
                <w:sz w:val="17"/>
                <w:lang w:eastAsia="zh-CN"/>
              </w:rPr>
              <w:t>使用当时可得数据</w:t>
            </w:r>
          </w:p>
        </w:tc>
      </w:tr>
      <w:tr w:rsidR="003833B2" w14:paraId="37B6CE1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FD42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color w:val="25313A"/>
                <w:sz w:val="17"/>
              </w:rPr>
              <w:t>选股层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C22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多因子排序模型</w:t>
            </w:r>
          </w:p>
        </w:tc>
        <w:tc>
          <w:tcPr>
            <w:tcW w:w="4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A26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输出候选股票及预测分数</w:t>
            </w:r>
          </w:p>
        </w:tc>
      </w:tr>
      <w:tr w:rsidR="003833B2" w14:paraId="14EB1B0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1FB0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color w:val="25313A"/>
                <w:sz w:val="17"/>
              </w:rPr>
              <w:t>择时层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A80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均线方向、通道突破</w:t>
            </w:r>
          </w:p>
        </w:tc>
        <w:tc>
          <w:tcPr>
            <w:tcW w:w="4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455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减少逆势持仓并定义执行时点</w:t>
            </w:r>
          </w:p>
        </w:tc>
      </w:tr>
      <w:tr w:rsidR="003833B2" w14:paraId="47C1FD3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E87D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color w:val="25313A"/>
                <w:sz w:val="17"/>
              </w:rPr>
              <w:t>风险层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C11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波动</w:t>
            </w:r>
            <w:proofErr w:type="gramStart"/>
            <w:r>
              <w:rPr>
                <w:color w:val="25313A"/>
                <w:sz w:val="17"/>
                <w:lang w:eastAsia="zh-CN"/>
              </w:rPr>
              <w:t>率定仓</w:t>
            </w:r>
            <w:proofErr w:type="gramEnd"/>
            <w:r>
              <w:rPr>
                <w:color w:val="25313A"/>
                <w:sz w:val="17"/>
                <w:lang w:eastAsia="zh-CN"/>
              </w:rPr>
              <w:t>、止损、行业约束</w:t>
            </w:r>
          </w:p>
        </w:tc>
        <w:tc>
          <w:tcPr>
            <w:tcW w:w="4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E28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控制单股和组合损失集中度</w:t>
            </w:r>
          </w:p>
        </w:tc>
      </w:tr>
      <w:tr w:rsidR="003833B2" w14:paraId="3A78494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C19B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color w:val="25313A"/>
                <w:sz w:val="17"/>
              </w:rPr>
              <w:t>执行层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5D3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换手、费用、涨跌停和容量</w:t>
            </w:r>
          </w:p>
        </w:tc>
        <w:tc>
          <w:tcPr>
            <w:tcW w:w="4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848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把理论信号转化为可成交订单</w:t>
            </w:r>
          </w:p>
        </w:tc>
      </w:tr>
      <w:tr w:rsidR="003833B2" w14:paraId="0CF480F0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9977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color w:val="25313A"/>
                <w:sz w:val="17"/>
              </w:rPr>
              <w:t>监控层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2E31" w14:textId="77777777" w:rsidR="003833B2" w:rsidRDefault="00000000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净值、回撤、相关性、漂移</w:t>
            </w:r>
          </w:p>
        </w:tc>
        <w:tc>
          <w:tcPr>
            <w:tcW w:w="47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DDF9" w14:textId="77777777" w:rsidR="003833B2" w:rsidRDefault="00000000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13A"/>
                <w:sz w:val="17"/>
                <w:lang w:eastAsia="zh-CN"/>
              </w:rPr>
              <w:t>识别策略失效并</w:t>
            </w:r>
            <w:proofErr w:type="gramStart"/>
            <w:r>
              <w:rPr>
                <w:color w:val="25313A"/>
                <w:sz w:val="17"/>
                <w:lang w:eastAsia="zh-CN"/>
              </w:rPr>
              <w:t>触发降权或</w:t>
            </w:r>
            <w:proofErr w:type="gramEnd"/>
            <w:r>
              <w:rPr>
                <w:color w:val="25313A"/>
                <w:sz w:val="17"/>
                <w:lang w:eastAsia="zh-CN"/>
              </w:rPr>
              <w:t>复核</w:t>
            </w:r>
          </w:p>
        </w:tc>
      </w:tr>
    </w:tbl>
    <w:p w14:paraId="1B0324BF" w14:textId="77777777" w:rsidR="003833B2" w:rsidRDefault="003833B2">
      <w:pPr>
        <w:spacing w:after="40" w:line="240" w:lineRule="auto"/>
        <w:rPr>
          <w:rFonts w:hint="eastAsia"/>
          <w:lang w:eastAsia="zh-CN"/>
        </w:rPr>
      </w:pPr>
    </w:p>
    <w:p w14:paraId="62A577A5" w14:textId="77777777" w:rsidR="003833B2" w:rsidRDefault="00000000">
      <w:pPr>
        <w:pStyle w:val="1"/>
        <w:pageBreakBefore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 机器学习在量化交易中的应用总结</w:t>
      </w:r>
    </w:p>
    <w:p w14:paraId="00EBE0FE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3.1 从通用分类实验到金融预测问题</w:t>
      </w:r>
    </w:p>
    <w:p w14:paraId="742320E6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TASK5使用569条医学示例数据和30项数值特征，按分层随机方式划分训练集与测试集，比较逻辑回归、决策树和随机森林。该任务的意义在于建立标准机器学习流程，包括缺失检查、标准化、模型训练、混淆矩阵、准确率、召回率和曲线下面积评价。由于数据不是金融数据，实验结果只能证明流程能够正确运行，不能用来支持交易策略有效性。</w:t>
      </w:r>
    </w:p>
    <w:p w14:paraId="02B21357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682BDB" wp14:editId="566744ED">
            <wp:extent cx="5472000" cy="3476371"/>
            <wp:effectExtent l="0" t="0" r="0" b="0"/>
            <wp:docPr id="6" name="Picture 6" descr="图6 通用分类实验中的模型评价" title="图6 通用分类实验中的模型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_ml_class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B252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图6 通用分类实验中的模型评价</w:t>
      </w:r>
    </w:p>
    <w:p w14:paraId="0A71B2BC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6显示逻辑回归和随机森林在该示例数据上的测试集表现较高，单棵决策树相对较弱。这个结果同时提示：模型优劣依赖数据结构和评价目标。进入金融场景后，类别准确率不再是唯一目标，模型还必须接受时间顺序、收益排序和交易成本的检验。</w:t>
      </w:r>
    </w:p>
    <w:p w14:paraId="46E29095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表6 TASK5通用分类实验的测试集指标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200"/>
        <w:gridCol w:w="1200"/>
        <w:gridCol w:w="1200"/>
        <w:gridCol w:w="1300"/>
        <w:gridCol w:w="1500"/>
        <w:gridCol w:w="1275"/>
      </w:tblGrid>
      <w:tr w:rsidR="003833B2" w14:paraId="245B67C1" w14:textId="77777777">
        <w:trPr>
          <w:cantSplit/>
          <w:tblHeader/>
        </w:trPr>
        <w:tc>
          <w:tcPr>
            <w:tcW w:w="13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7AD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5313A"/>
                <w:sz w:val="17"/>
              </w:rPr>
              <w:t>模型</w:t>
            </w:r>
            <w:proofErr w:type="spellEnd"/>
          </w:p>
        </w:tc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BE2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准确率</w:t>
            </w:r>
          </w:p>
        </w:tc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F0F3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精确率</w:t>
            </w:r>
          </w:p>
        </w:tc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941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召回率</w:t>
            </w:r>
          </w:p>
        </w:tc>
        <w:tc>
          <w:tcPr>
            <w:tcW w:w="13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DD5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调和平均</w:t>
            </w:r>
          </w:p>
        </w:tc>
        <w:tc>
          <w:tcPr>
            <w:tcW w:w="15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7DBE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曲线下面积</w:t>
            </w:r>
          </w:p>
        </w:tc>
        <w:tc>
          <w:tcPr>
            <w:tcW w:w="127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B6C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7"/>
              </w:rPr>
              <w:t>训练测试差</w:t>
            </w:r>
          </w:p>
        </w:tc>
      </w:tr>
      <w:tr w:rsidR="003833B2" w14:paraId="2DACF742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15D4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逻辑回归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412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97.4%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640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97.6%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66F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95.2%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E65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96.4%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DAC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99.6%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582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1.5%</w:t>
            </w:r>
          </w:p>
        </w:tc>
      </w:tr>
      <w:tr w:rsidR="003833B2" w14:paraId="4DE6D93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7B10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决策树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F7B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91.2%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1EB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90.0%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45C5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85.7%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4566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87.8%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21B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92.0%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294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5.0%</w:t>
            </w:r>
          </w:p>
        </w:tc>
      </w:tr>
      <w:tr w:rsidR="003833B2" w14:paraId="6D51595D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05CE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7"/>
              </w:rPr>
              <w:t>随机森林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6C74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97.4%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75F5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100.0%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0D59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92.9%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E4E8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96.3%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3607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99.7%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88A8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7"/>
              </w:rPr>
              <w:t>2.6%</w:t>
            </w:r>
          </w:p>
        </w:tc>
      </w:tr>
    </w:tbl>
    <w:p w14:paraId="64DE37CC" w14:textId="77777777" w:rsidR="003833B2" w:rsidRDefault="003833B2">
      <w:pPr>
        <w:spacing w:after="40" w:line="240" w:lineRule="auto"/>
        <w:rPr>
          <w:rFonts w:hint="eastAsia"/>
        </w:rPr>
      </w:pPr>
    </w:p>
    <w:p w14:paraId="3C0F866B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3.2 数据预处理、特征工程与防止信息泄漏</w:t>
      </w:r>
    </w:p>
    <w:p w14:paraId="3AA493A2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TASK6将机器学习流程迁移到股票横截面收益排序。研究从抓取时点的中证300当前成分列表中等距抽取120只股票，取得2015年1月至2026年7月的294,312条后复权日线，形成4,281条股票-季度记录和18项动量、趋势、风险及流动性因子。训练期为2016年第一季度至2023年第一季度，验证期为随后四个季度，测试期为2024年第二季度至2026年第一季度。</w:t>
      </w:r>
    </w:p>
    <w:p w14:paraId="56C082BF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防止信息泄漏的关键是让数据可得时间早于信号，信号早于建仓，建仓早于收益标签结束。TASK6在每个季度末形成特征，在下一</w:t>
      </w:r>
      <w:proofErr w:type="gramStart"/>
      <w:r>
        <w:rPr>
          <w:color w:val="25313A"/>
          <w:lang w:eastAsia="zh-CN"/>
        </w:rPr>
        <w:t>季度初</w:t>
      </w:r>
      <w:proofErr w:type="gramEnd"/>
      <w:r>
        <w:rPr>
          <w:color w:val="25313A"/>
          <w:lang w:eastAsia="zh-CN"/>
        </w:rPr>
        <w:t>建仓，并用再下一</w:t>
      </w:r>
      <w:proofErr w:type="gramStart"/>
      <w:r>
        <w:rPr>
          <w:color w:val="25313A"/>
          <w:lang w:eastAsia="zh-CN"/>
        </w:rPr>
        <w:t>季度初</w:t>
      </w:r>
      <w:proofErr w:type="gramEnd"/>
      <w:r>
        <w:rPr>
          <w:color w:val="25313A"/>
          <w:lang w:eastAsia="zh-CN"/>
        </w:rPr>
        <w:t>的价格计算持有期收益；测试期逐季使用扩展窗口重新训练。横截面缩尾、缺失填补和百分位转换也仅使用当期股票，避免把未来分布带回历史。该设计比随机打乱金融样本更符合真实决策过程。</w:t>
      </w:r>
    </w:p>
    <w:p w14:paraId="3264AB82" w14:textId="77777777" w:rsidR="003833B2" w:rsidRDefault="00000000">
      <w:pPr>
        <w:shd w:val="clear" w:color="auto" w:fill="F4F6F7"/>
        <w:spacing w:before="80" w:after="80"/>
        <w:jc w:val="left"/>
        <w:rPr>
          <w:rFonts w:hint="eastAsia"/>
          <w:lang w:eastAsia="zh-CN"/>
        </w:rPr>
      </w:pPr>
      <w:r>
        <w:rPr>
          <w:b/>
          <w:color w:val="2F6B8A"/>
          <w:lang w:eastAsia="zh-CN"/>
        </w:rPr>
        <w:t>数据局限：</w:t>
      </w:r>
      <w:r>
        <w:rPr>
          <w:color w:val="25313A"/>
          <w:lang w:eastAsia="zh-CN"/>
        </w:rPr>
        <w:t>TASK6使用当前成分股回溯历史，而不是逐季度历史成分股，存在幸存者与样本选择偏差；历史ST、停牌、涨跌停和冲击成本也未完整模拟。相关改进见附录建议A3与A4。</w:t>
      </w:r>
    </w:p>
    <w:p w14:paraId="5B147710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3.3 模型选择、训练与评价</w:t>
      </w:r>
    </w:p>
    <w:p w14:paraId="3B287CAD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岭回归提供线性和正则化基准，决策树能够学习非线性阈值，随机森林通过多棵树的抽样平均</w:t>
      </w:r>
      <w:proofErr w:type="gramStart"/>
      <w:r>
        <w:rPr>
          <w:color w:val="25313A"/>
          <w:lang w:eastAsia="zh-CN"/>
        </w:rPr>
        <w:t>降低单树方差</w:t>
      </w:r>
      <w:proofErr w:type="gramEnd"/>
      <w:r>
        <w:rPr>
          <w:color w:val="25313A"/>
          <w:lang w:eastAsia="zh-CN"/>
        </w:rPr>
        <w:t>。模型在验证</w:t>
      </w:r>
      <w:proofErr w:type="gramStart"/>
      <w:r>
        <w:rPr>
          <w:color w:val="25313A"/>
          <w:lang w:eastAsia="zh-CN"/>
        </w:rPr>
        <w:t>期选择</w:t>
      </w:r>
      <w:proofErr w:type="gramEnd"/>
      <w:r>
        <w:rPr>
          <w:color w:val="25313A"/>
          <w:lang w:eastAsia="zh-CN"/>
        </w:rPr>
        <w:t>参数，再在测试期逐季度重训。预测层使用平均绝对误差、均方根误差、决定系数和季度排序相关系数；策略层使用累计收益、</w:t>
      </w:r>
      <w:proofErr w:type="gramStart"/>
      <w:r>
        <w:rPr>
          <w:color w:val="25313A"/>
          <w:lang w:eastAsia="zh-CN"/>
        </w:rPr>
        <w:t>年化收益</w:t>
      </w:r>
      <w:proofErr w:type="gramEnd"/>
      <w:r>
        <w:rPr>
          <w:color w:val="25313A"/>
          <w:lang w:eastAsia="zh-CN"/>
        </w:rPr>
        <w:t>、波动率、夏普比率、最大回撤、换手率、跟踪误差和信息比率。</w:t>
      </w:r>
    </w:p>
    <w:p w14:paraId="1B43C6DA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金融预测通常具有低信噪比。决定系数为负说明模型在</w:t>
      </w:r>
      <w:proofErr w:type="gramStart"/>
      <w:r>
        <w:rPr>
          <w:color w:val="25313A"/>
          <w:lang w:eastAsia="zh-CN"/>
        </w:rPr>
        <w:t>点预测</w:t>
      </w:r>
      <w:proofErr w:type="gramEnd"/>
      <w:r>
        <w:rPr>
          <w:color w:val="25313A"/>
          <w:lang w:eastAsia="zh-CN"/>
        </w:rPr>
        <w:t>层面可能不如简单均值，但排序相关性仍可能对选股有价值；反过来，平均排序相关性略高也不保证前30名组合能跑赢基准，因为组合只使用分布上端，容易受到极端个股、行业集中和换手成本影响。因此模型选择必须同时检查统计指标和经济结果。</w:t>
      </w:r>
    </w:p>
    <w:p w14:paraId="1230500C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CC262B" wp14:editId="7CE112F0">
            <wp:extent cx="5472000" cy="3520448"/>
            <wp:effectExtent l="0" t="0" r="0" b="0"/>
            <wp:docPr id="7" name="Picture 7" descr="图7 三种模型的测试期季度排序相关性" title="图7 三种模型的测试期季度排序相关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_ml_rank_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8E56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图7 三种模型的测试期季度排序相关性</w:t>
      </w:r>
    </w:p>
    <w:p w14:paraId="39105900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7显示三种模型的季度排序相关性波动明显。决策树的测试期平均值为-0.080，仍是三种模型中相对最高者，且仅一半季度为正。该证据不支持“模型已经形成稳定预测优势”，更合理的解释是模型信号较弱并存在市场状态依赖。</w:t>
      </w:r>
    </w:p>
    <w:p w14:paraId="43333416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3.4 机器学习选</w:t>
      </w:r>
      <w:proofErr w:type="gramStart"/>
      <w:r>
        <w:rPr>
          <w:rFonts w:ascii="黑体" w:eastAsia="黑体" w:hAnsi="黑体"/>
          <w:lang w:eastAsia="zh-CN"/>
        </w:rPr>
        <w:t>股取得</w:t>
      </w:r>
      <w:proofErr w:type="gramEnd"/>
      <w:r>
        <w:rPr>
          <w:rFonts w:ascii="黑体" w:eastAsia="黑体" w:hAnsi="黑体"/>
          <w:lang w:eastAsia="zh-CN"/>
        </w:rPr>
        <w:t>正收益但未形成稳定超额</w:t>
      </w:r>
    </w:p>
    <w:p w14:paraId="1E61F6BA" w14:textId="77777777" w:rsidR="003833B2" w:rsidRDefault="00000000">
      <w:pPr>
        <w:pStyle w:val="af7"/>
        <w:keepNext/>
        <w:spacing w:before="80" w:after="8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表7 TASK6模型预测与前30名</w:t>
      </w:r>
      <w:proofErr w:type="gramStart"/>
      <w:r>
        <w:rPr>
          <w:lang w:eastAsia="zh-CN"/>
        </w:rPr>
        <w:t>组合回测结果</w:t>
      </w:r>
      <w:proofErr w:type="gramEnd"/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250"/>
        <w:gridCol w:w="1250"/>
        <w:gridCol w:w="1250"/>
        <w:gridCol w:w="1200"/>
        <w:gridCol w:w="1100"/>
        <w:gridCol w:w="1100"/>
        <w:gridCol w:w="675"/>
      </w:tblGrid>
      <w:tr w:rsidR="003833B2" w14:paraId="3AC9EC73" w14:textId="77777777">
        <w:trPr>
          <w:cantSplit/>
          <w:tblHeader/>
        </w:trPr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0308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5313A"/>
                <w:sz w:val="16"/>
              </w:rPr>
              <w:t>模型</w:t>
            </w:r>
            <w:proofErr w:type="spellEnd"/>
          </w:p>
        </w:tc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0BFE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平均秩相关</w:t>
            </w:r>
          </w:p>
        </w:tc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F10E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正相关季度</w:t>
            </w:r>
          </w:p>
        </w:tc>
        <w:tc>
          <w:tcPr>
            <w:tcW w:w="125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817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累计净收益</w:t>
            </w:r>
          </w:p>
        </w:tc>
        <w:tc>
          <w:tcPr>
            <w:tcW w:w="12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D60E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年化收益</w:t>
            </w:r>
          </w:p>
        </w:tc>
        <w:tc>
          <w:tcPr>
            <w:tcW w:w="11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A6A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夏普比率</w:t>
            </w:r>
          </w:p>
        </w:tc>
        <w:tc>
          <w:tcPr>
            <w:tcW w:w="1100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777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最大回撤</w:t>
            </w:r>
          </w:p>
        </w:tc>
        <w:tc>
          <w:tcPr>
            <w:tcW w:w="675" w:type="dxa"/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C4F0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313A"/>
                <w:sz w:val="16"/>
              </w:rPr>
              <w:t>年化超额</w:t>
            </w:r>
          </w:p>
        </w:tc>
      </w:tr>
      <w:tr w:rsidR="003833B2" w14:paraId="6E352D9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D9A2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岭回归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FE3C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-0.137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0A4F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25%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294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9.7%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711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4.7%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5379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0.36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0894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-10.5%</w:t>
            </w:r>
          </w:p>
        </w:tc>
        <w:tc>
          <w:tcPr>
            <w:tcW w:w="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C20D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-17.1%</w:t>
            </w:r>
          </w:p>
        </w:tc>
      </w:tr>
      <w:tr w:rsidR="003833B2" w14:paraId="4400DD3E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AA8D" w14:textId="77777777" w:rsidR="003833B2" w:rsidRDefault="00000000">
            <w:pPr>
              <w:keepNext/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决策树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949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-0.080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A652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50%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717A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30.0%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3F6B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14.0%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CD81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0.83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9B5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-8.3%</w:t>
            </w:r>
          </w:p>
        </w:tc>
        <w:tc>
          <w:tcPr>
            <w:tcW w:w="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2B67" w14:textId="77777777" w:rsidR="003833B2" w:rsidRDefault="00000000">
            <w:pPr>
              <w:keepNext/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-7.8%</w:t>
            </w:r>
          </w:p>
        </w:tc>
      </w:tr>
      <w:tr w:rsidR="003833B2" w14:paraId="2CDEE58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70A8" w14:textId="77777777" w:rsidR="003833B2" w:rsidRDefault="00000000">
            <w:pPr>
              <w:spacing w:line="240" w:lineRule="auto"/>
              <w:jc w:val="left"/>
              <w:rPr>
                <w:rFonts w:hint="eastAsia"/>
              </w:rPr>
            </w:pPr>
            <w:r>
              <w:rPr>
                <w:color w:val="25313A"/>
                <w:sz w:val="16"/>
              </w:rPr>
              <w:t>随机森林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D4C5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-0.097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473D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38%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8F15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22.7%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DAA4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10.8%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ABE5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0.71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37F9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-7.1%</w:t>
            </w:r>
          </w:p>
        </w:tc>
        <w:tc>
          <w:tcPr>
            <w:tcW w:w="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25BE" w14:textId="77777777" w:rsidR="003833B2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color w:val="25313A"/>
                <w:sz w:val="16"/>
              </w:rPr>
              <w:t>-11.0%</w:t>
            </w:r>
          </w:p>
        </w:tc>
      </w:tr>
    </w:tbl>
    <w:p w14:paraId="7E176CE3" w14:textId="77777777" w:rsidR="003833B2" w:rsidRDefault="003833B2">
      <w:pPr>
        <w:spacing w:after="40" w:line="240" w:lineRule="auto"/>
        <w:rPr>
          <w:rFonts w:hint="eastAsia"/>
        </w:rPr>
      </w:pPr>
    </w:p>
    <w:p w14:paraId="63B9374D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表7显示，决策树前30名组合在单边0.2%综合成本下累计净收益为30.04%、年化收益为14.04%、最大回撤为-8.29%。同期研究样本等权基准累计收益为48.42%，说明组合虽然获得正绝对收益，却没有形成正超额收益。</w:t>
      </w:r>
    </w:p>
    <w:p w14:paraId="538B621C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A080CA" wp14:editId="6579AC1C">
            <wp:extent cx="5472000" cy="3548742"/>
            <wp:effectExtent l="0" t="0" r="0" b="0"/>
            <wp:docPr id="8" name="Picture 8" descr="图8 机器学习选股组合与基准的累计净值" title="图8 机器学习选股组合与基准的累计净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ml_na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9D8C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图8 机器学习选股组合与基准的累计净值</w:t>
      </w:r>
    </w:p>
    <w:p w14:paraId="148BC161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图8给出决策树组合和研究样本等权基准的复利路径。策略在部分季度控制了下跌，但整体净值终点低于基准。仅观察30.04%的正收益容易产生乐观判断，加入基准后才能识别策略的机会成本。</w:t>
      </w:r>
    </w:p>
    <w:p w14:paraId="50865E95" w14:textId="77777777" w:rsidR="003833B2" w:rsidRDefault="00000000">
      <w:pPr>
        <w:keepNext/>
        <w:spacing w:before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C8923" wp14:editId="4CB5CAD2">
            <wp:extent cx="5472000" cy="3451732"/>
            <wp:effectExtent l="0" t="0" r="0" b="0"/>
            <wp:docPr id="9" name="Picture 9" descr="图9 机器学习选股组合与基准的回撤路径" title="图9 机器学习选股组合与基准的回撤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ml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6ABF" w14:textId="77777777" w:rsidR="003833B2" w:rsidRDefault="00000000">
      <w:pPr>
        <w:pStyle w:val="af7"/>
        <w:keepNext/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图9 机器学习选股组合与基准的回撤路径</w:t>
      </w:r>
    </w:p>
    <w:p w14:paraId="41F6FB73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图9说明策略评价还需要考虑路径风险。决策树组合最大回撤约为8.29%，低于其累计收益规模，但较小回撤不能抵消长期落后基准的问题。组合若要进入实盘模拟，必须同时满足超额收益、回撤和稳定性要求。</w:t>
      </w:r>
    </w:p>
    <w:p w14:paraId="3B19515B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3.5 机器学习的优势、局限与发展趋势</w:t>
      </w:r>
    </w:p>
    <w:p w14:paraId="5552DD15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机器学习的优势是能够在大量特征中拟合非线性关系和交互作用，并通过统一评分完成横截面排序；它还可以与滚动训练、特征重要性和模型集成结合，适应不断更新的数据。其局限则包括过拟合、标签噪声、数据泄漏、模型漂移、可解释性不足和交易成本放大。金融市场中的数据分布会随制度、参与者和风险偏好变化，模型历史成功并不意味着结构长期稳定。</w:t>
      </w:r>
    </w:p>
    <w:p w14:paraId="66F86457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未来更值得探索的方向不是继续增加模型复杂度，而是提高证据质量：使用逐季度真实股票池和公告日对齐的财务数据，扩大样本外区间，进行行业和风格中性化，比较滚动与扩展窗口，加入特征稳定性筛选，并用组合</w:t>
      </w:r>
      <w:proofErr w:type="gramStart"/>
      <w:r>
        <w:rPr>
          <w:color w:val="25313A"/>
          <w:lang w:eastAsia="zh-CN"/>
        </w:rPr>
        <w:t>级风险</w:t>
      </w:r>
      <w:proofErr w:type="gramEnd"/>
      <w:r>
        <w:rPr>
          <w:color w:val="25313A"/>
          <w:lang w:eastAsia="zh-CN"/>
        </w:rPr>
        <w:t>预算约束模型输出。模型还应设置漂移阈值和停用规则，使“何时不相信模型”成为系统的一部分。</w:t>
      </w:r>
    </w:p>
    <w:p w14:paraId="622E4528" w14:textId="77777777" w:rsidR="003833B2" w:rsidRDefault="00000000">
      <w:pPr>
        <w:pStyle w:val="1"/>
        <w:pageBreakBefore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4 结论与展望</w:t>
      </w:r>
    </w:p>
    <w:p w14:paraId="241FEA6C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4.1 主要结论</w:t>
      </w:r>
    </w:p>
    <w:p w14:paraId="7770F15F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第一，量化交易的专业性首先体现在研究流程，而非策略名称。复权、时间顺序、基准、成本和风险口径决定了结果是否可信。第二，</w:t>
      </w:r>
      <w:proofErr w:type="gramStart"/>
      <w:r>
        <w:rPr>
          <w:color w:val="25313A"/>
          <w:lang w:eastAsia="zh-CN"/>
        </w:rPr>
        <w:t>双均线</w:t>
      </w:r>
      <w:proofErr w:type="gramEnd"/>
      <w:r>
        <w:rPr>
          <w:color w:val="25313A"/>
          <w:lang w:eastAsia="zh-CN"/>
        </w:rPr>
        <w:t>和海龟策略都能在部分趋势阶段工作，但</w:t>
      </w:r>
      <w:proofErr w:type="gramStart"/>
      <w:r>
        <w:rPr>
          <w:color w:val="25313A"/>
          <w:lang w:eastAsia="zh-CN"/>
        </w:rPr>
        <w:t>跨股票</w:t>
      </w:r>
      <w:proofErr w:type="gramEnd"/>
      <w:r>
        <w:rPr>
          <w:color w:val="25313A"/>
          <w:lang w:eastAsia="zh-CN"/>
        </w:rPr>
        <w:t>差异和参数敏感性显著，单一规则难以适应所有市场。第三，机器学习能够形成系统化选股流程，却没有在当前样本中产生稳定的排序能力和超额收益。第四，多策略系统的价值应来自选股、择时和风险控制的职责分工，并需要组合级样本外验证。</w:t>
      </w:r>
    </w:p>
    <w:p w14:paraId="42E8B5EF" w14:textId="77777777" w:rsidR="003833B2" w:rsidRDefault="00000000">
      <w:pPr>
        <w:shd w:val="clear" w:color="auto" w:fill="E8F1F5"/>
        <w:spacing w:before="80" w:after="80"/>
        <w:jc w:val="left"/>
        <w:rPr>
          <w:rFonts w:hint="eastAsia"/>
          <w:lang w:eastAsia="zh-CN"/>
        </w:rPr>
      </w:pPr>
      <w:r>
        <w:rPr>
          <w:b/>
          <w:color w:val="2F6B8A"/>
          <w:lang w:eastAsia="zh-CN"/>
        </w:rPr>
        <w:t>核心判断：</w:t>
      </w:r>
      <w:r>
        <w:rPr>
          <w:color w:val="25313A"/>
          <w:lang w:eastAsia="zh-CN"/>
        </w:rPr>
        <w:t>策略有效性的最低标准不是“回测赚钱”，而是在真实可得数据、合理成本和样本外检验下，相对明确基准取得与风险相匹配的稳定增量。</w:t>
      </w:r>
    </w:p>
    <w:p w14:paraId="7498655E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4.2 学习收获与能力提升</w:t>
      </w:r>
    </w:p>
    <w:p w14:paraId="1575B54C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通过六项任务，我完成了从调用数据接口、处理复权价格和检查数据质量，到计算技术指标、编写交易规则、设计无前</w:t>
      </w:r>
      <w:proofErr w:type="gramStart"/>
      <w:r>
        <w:rPr>
          <w:color w:val="25313A"/>
          <w:lang w:eastAsia="zh-CN"/>
        </w:rPr>
        <w:t>视回测</w:t>
      </w:r>
      <w:proofErr w:type="gramEnd"/>
      <w:r>
        <w:rPr>
          <w:color w:val="25313A"/>
          <w:lang w:eastAsia="zh-CN"/>
        </w:rPr>
        <w:t>、评价策略风险，再到训练机器学习模型和构建季度组合的完整实践。相比只关注模型输出，学习过程中更重要的提升是能够追踪每个数字的来源，识别看似优秀结果背后的口径差异，并主动报告负面证据和研究限制。</w:t>
      </w:r>
    </w:p>
    <w:p w14:paraId="5FB8D8AF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在专业表达方面，本报告将分散任务重新组织为一条因果清晰的研究路线，并通过统一图表说明结果。报告没有</w:t>
      </w:r>
      <w:proofErr w:type="gramStart"/>
      <w:r>
        <w:rPr>
          <w:color w:val="25313A"/>
          <w:lang w:eastAsia="zh-CN"/>
        </w:rPr>
        <w:t>回避双均线</w:t>
      </w:r>
      <w:proofErr w:type="gramEnd"/>
      <w:r>
        <w:rPr>
          <w:color w:val="25313A"/>
          <w:lang w:eastAsia="zh-CN"/>
        </w:rPr>
        <w:t>多数情况下未跑赢持有基准、海龟策略绝对收益有限以及机器学习平均排序相关为负等事实。这种对结果边界的说明，是从完成程序走向完成研究的重要一步。</w:t>
      </w:r>
    </w:p>
    <w:p w14:paraId="515D94A1" w14:textId="77777777" w:rsidR="003833B2" w:rsidRDefault="00000000">
      <w:pPr>
        <w:pStyle w:val="21"/>
        <w:spacing w:after="8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4.3 后续研究计划</w:t>
      </w:r>
    </w:p>
    <w:p w14:paraId="0E1BC347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后续工作将按“先修正数据，再统一回测，最后增加复杂度”的顺序推进。第一阶段建立历史可交易股票池和真实成本模型；第二阶段在同一股票池、同</w:t>
      </w:r>
      <w:proofErr w:type="gramStart"/>
      <w:r>
        <w:rPr>
          <w:color w:val="25313A"/>
          <w:lang w:eastAsia="zh-CN"/>
        </w:rPr>
        <w:t>一调仓日和</w:t>
      </w:r>
      <w:proofErr w:type="gramEnd"/>
      <w:r>
        <w:rPr>
          <w:color w:val="25313A"/>
          <w:lang w:eastAsia="zh-CN"/>
        </w:rPr>
        <w:t>同一风险预算下</w:t>
      </w:r>
      <w:proofErr w:type="gramStart"/>
      <w:r>
        <w:rPr>
          <w:color w:val="25313A"/>
          <w:lang w:eastAsia="zh-CN"/>
        </w:rPr>
        <w:t>复测双均线</w:t>
      </w:r>
      <w:proofErr w:type="gramEnd"/>
      <w:r>
        <w:rPr>
          <w:color w:val="25313A"/>
          <w:lang w:eastAsia="zh-CN"/>
        </w:rPr>
        <w:t>、海龟与机器学习组合；第三阶段开展多策略权重和市场状态识别；第四阶段建立模拟交易监控，记录信号、订单、成交、偏差和策略漂移。附录建议A1-A6给出了相应的实施要点。</w:t>
      </w:r>
    </w:p>
    <w:p w14:paraId="5A1F25A7" w14:textId="77777777" w:rsidR="003833B2" w:rsidRDefault="00000000">
      <w:pPr>
        <w:pStyle w:val="1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参考文献</w:t>
      </w:r>
    </w:p>
    <w:p w14:paraId="77F44D9C" w14:textId="77777777" w:rsidR="003833B2" w:rsidRDefault="00000000">
      <w:pPr>
        <w:ind w:firstLine="420"/>
        <w:rPr>
          <w:rFonts w:hint="eastAsia"/>
        </w:rPr>
      </w:pPr>
      <w:r>
        <w:rPr>
          <w:color w:val="25313A"/>
        </w:rPr>
        <w:t xml:space="preserve">[1] </w:t>
      </w:r>
      <w:proofErr w:type="spellStart"/>
      <w:r>
        <w:rPr>
          <w:color w:val="25313A"/>
        </w:rPr>
        <w:t>Breiman</w:t>
      </w:r>
      <w:proofErr w:type="spellEnd"/>
      <w:r>
        <w:rPr>
          <w:color w:val="25313A"/>
        </w:rPr>
        <w:t>, L. (2001). Random Forests. Machine Learning, 45, 5-32.</w:t>
      </w:r>
    </w:p>
    <w:p w14:paraId="7252409F" w14:textId="77777777" w:rsidR="003833B2" w:rsidRDefault="00000000">
      <w:pPr>
        <w:ind w:firstLine="420"/>
        <w:rPr>
          <w:rFonts w:hint="eastAsia"/>
        </w:rPr>
      </w:pPr>
      <w:r>
        <w:rPr>
          <w:color w:val="25313A"/>
        </w:rPr>
        <w:t>[2] Fama, E. F., &amp; French, K. R. (1993). Common risk factors in the returns on stocks and bonds. Journal of Financial Economics, 33(1), 3-56.</w:t>
      </w:r>
    </w:p>
    <w:p w14:paraId="588603C7" w14:textId="77777777" w:rsidR="003833B2" w:rsidRDefault="00000000">
      <w:pPr>
        <w:ind w:firstLine="420"/>
        <w:rPr>
          <w:rFonts w:hint="eastAsia"/>
        </w:rPr>
      </w:pPr>
      <w:r>
        <w:rPr>
          <w:color w:val="25313A"/>
        </w:rPr>
        <w:t>[3] Gu, S., Kelly, B., &amp; Xiu, D. (2020). Empirical Asset Pricing via Machine Learning. Review of Financial Studies, 33(5), 2223-2273.</w:t>
      </w:r>
    </w:p>
    <w:p w14:paraId="284BD86A" w14:textId="77777777" w:rsidR="003833B2" w:rsidRDefault="00000000">
      <w:pPr>
        <w:ind w:firstLine="420"/>
        <w:rPr>
          <w:rFonts w:hint="eastAsia"/>
        </w:rPr>
      </w:pPr>
      <w:r>
        <w:rPr>
          <w:color w:val="25313A"/>
        </w:rPr>
        <w:t>[4] TuShare与AkShare公开接口文档；本报告使用的数据抓取日期和实际来源记录见各任务的数据元文件。</w:t>
      </w:r>
    </w:p>
    <w:p w14:paraId="00BA1C4D" w14:textId="77777777" w:rsidR="003833B2" w:rsidRDefault="00000000">
      <w:pPr>
        <w:pStyle w:val="1"/>
        <w:pageBreakBefore/>
        <w:spacing w:before="60" w:after="40"/>
        <w:jc w:val="left"/>
      </w:pPr>
      <w:r>
        <w:rPr>
          <w:rFonts w:ascii="黑体" w:eastAsia="黑体" w:hAnsi="黑体"/>
        </w:rPr>
        <w:lastRenderedPageBreak/>
        <w:t>附录 改进建议</w:t>
      </w:r>
    </w:p>
    <w:p w14:paraId="7EDC5584" w14:textId="77777777" w:rsidR="003833B2" w:rsidRDefault="00000000">
      <w:pPr>
        <w:pStyle w:val="21"/>
        <w:spacing w:before="40" w:after="20"/>
        <w:jc w:val="left"/>
      </w:pPr>
      <w:r>
        <w:rPr>
          <w:rFonts w:ascii="黑体" w:eastAsia="黑体" w:hAnsi="黑体"/>
        </w:rPr>
        <w:t>建议A1 统一策略比较口径</w:t>
      </w:r>
    </w:p>
    <w:p w14:paraId="65C994D9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</w:rPr>
        <w:t>对应问题：TASK3采用接近全仓的仓位切换，TASK4采用1%风险预算，TASK6</w:t>
      </w:r>
      <w:proofErr w:type="spellStart"/>
      <w:r>
        <w:rPr>
          <w:color w:val="25313A"/>
        </w:rPr>
        <w:t>则按季度等权选股，累计收益无法直接比较</w:t>
      </w:r>
      <w:proofErr w:type="spellEnd"/>
      <w:r>
        <w:rPr>
          <w:color w:val="25313A"/>
        </w:rPr>
        <w:t>。</w:t>
      </w:r>
      <w:r>
        <w:rPr>
          <w:color w:val="25313A"/>
          <w:lang w:eastAsia="zh-CN"/>
        </w:rPr>
        <w:t>改进措施：选定共同股票池、共同样本外区间、共同成本和共同目标波动率，对各策略输出进行波动率缩放后再比较收益、回撤、换手和相关性。预期效果：区分信号质量与资金暴露差异。优先级：高。正文引用：第1.2节、第2.4节。</w:t>
      </w:r>
    </w:p>
    <w:p w14:paraId="016043CB" w14:textId="77777777" w:rsidR="003833B2" w:rsidRDefault="00000000">
      <w:pPr>
        <w:pStyle w:val="21"/>
        <w:spacing w:before="40" w:after="2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建议A2 建立滚动样本外与参数稳定性检验</w:t>
      </w:r>
    </w:p>
    <w:p w14:paraId="651578FE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对应问题：当前参数比较仍可能受到特定样本区间影响。改进措施：使用滚动训练窗口和固定长度测试窗口，记录每期最优参数、次优参数以及参数邻域表现；只有在多个窗口和多个标的上均不过度失真的参数才进入候选集。预期效果：降低数据挖掘和参数过拟合。优先级：高。正文引用：第2.2节、第2.3节。</w:t>
      </w:r>
    </w:p>
    <w:p w14:paraId="03CF9599" w14:textId="77777777" w:rsidR="003833B2" w:rsidRDefault="00000000">
      <w:pPr>
        <w:pStyle w:val="21"/>
        <w:spacing w:before="40" w:after="2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建议A3 使用点时股票池与公告日数据</w:t>
      </w:r>
    </w:p>
    <w:p w14:paraId="4DAACE0C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对应问题：TASK6使用当前中证</w:t>
      </w:r>
      <w:proofErr w:type="gramStart"/>
      <w:r>
        <w:rPr>
          <w:color w:val="25313A"/>
          <w:lang w:eastAsia="zh-CN"/>
        </w:rPr>
        <w:t>300成</w:t>
      </w:r>
      <w:proofErr w:type="gramEnd"/>
      <w:r>
        <w:rPr>
          <w:color w:val="25313A"/>
          <w:lang w:eastAsia="zh-CN"/>
        </w:rPr>
        <w:t>分股回溯历史，可能遗漏已被剔除或退市股票。改进措施：按每个季度恢复当时的指数成分、上市状态和风险警示状态；财务和估值特征严格按公告日加入，避免使用事后修订数据。预期效果：降低幸存者偏差和信息泄漏。优先级：最高。正文引用：第3.2节。</w:t>
      </w:r>
    </w:p>
    <w:p w14:paraId="2CAF766E" w14:textId="77777777" w:rsidR="003833B2" w:rsidRDefault="00000000">
      <w:pPr>
        <w:pStyle w:val="21"/>
        <w:spacing w:before="40" w:after="2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建议A4 完善交易可达性与成本模型</w:t>
      </w:r>
    </w:p>
    <w:p w14:paraId="625F2C28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对应问题：</w:t>
      </w:r>
      <w:proofErr w:type="gramStart"/>
      <w:r>
        <w:rPr>
          <w:color w:val="25313A"/>
          <w:lang w:eastAsia="zh-CN"/>
        </w:rPr>
        <w:t>现有回测未</w:t>
      </w:r>
      <w:proofErr w:type="gramEnd"/>
      <w:r>
        <w:rPr>
          <w:color w:val="25313A"/>
          <w:lang w:eastAsia="zh-CN"/>
        </w:rPr>
        <w:t>完整模拟停牌、涨跌停、整手、滑点、印花税变化和市场冲击。改进措施：建立</w:t>
      </w:r>
      <w:proofErr w:type="gramStart"/>
      <w:r>
        <w:rPr>
          <w:color w:val="25313A"/>
          <w:lang w:eastAsia="zh-CN"/>
        </w:rPr>
        <w:t>订单级</w:t>
      </w:r>
      <w:proofErr w:type="gramEnd"/>
      <w:r>
        <w:rPr>
          <w:color w:val="25313A"/>
          <w:lang w:eastAsia="zh-CN"/>
        </w:rPr>
        <w:t>执行规则，以信号后可成交价格为基准，按成交额比例估计冲击成本，并对不同资金规模进行容量情景分析。预期效果：缩小理论收益与模拟实盘收益的差距。优先级：高。正文引用：第3.2节、第3.4节。</w:t>
      </w:r>
    </w:p>
    <w:p w14:paraId="782DDE55" w14:textId="77777777" w:rsidR="003833B2" w:rsidRDefault="00000000">
      <w:pPr>
        <w:pStyle w:val="21"/>
        <w:spacing w:before="40" w:after="2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建议A5 验证机器学习选股与</w:t>
      </w:r>
      <w:proofErr w:type="gramStart"/>
      <w:r>
        <w:rPr>
          <w:rFonts w:ascii="黑体" w:eastAsia="黑体" w:hAnsi="黑体"/>
          <w:lang w:eastAsia="zh-CN"/>
        </w:rPr>
        <w:t>趋势风控的</w:t>
      </w:r>
      <w:proofErr w:type="gramEnd"/>
      <w:r>
        <w:rPr>
          <w:rFonts w:ascii="黑体" w:eastAsia="黑体" w:hAnsi="黑体"/>
          <w:lang w:eastAsia="zh-CN"/>
        </w:rPr>
        <w:t>组合</w:t>
      </w:r>
    </w:p>
    <w:p w14:paraId="12B760FC" w14:textId="77777777" w:rsidR="003833B2" w:rsidRDefault="00000000">
      <w:pPr>
        <w:ind w:firstLine="420"/>
        <w:rPr>
          <w:rFonts w:hint="eastAsia"/>
          <w:lang w:eastAsia="zh-CN"/>
        </w:rPr>
      </w:pPr>
      <w:r>
        <w:rPr>
          <w:color w:val="25313A"/>
          <w:lang w:eastAsia="zh-CN"/>
        </w:rPr>
        <w:t>对应问题：本报告提出的多策略架构尚未进行统一实证。改进措施：先由模型选出前30名股票，再分别测试无择时、均线过滤和通道突破三种入场规则；所有方案使用相同的平均真实波幅风险预算和行业上限，并比较净超额、最大回撤、换手和回撤恢复时间。预期效果：验证互补性是否真实存在。优先级：中高。正文引用：第2.5节。</w:t>
      </w:r>
    </w:p>
    <w:p w14:paraId="20107200" w14:textId="77777777" w:rsidR="003833B2" w:rsidRDefault="00000000">
      <w:pPr>
        <w:pStyle w:val="21"/>
        <w:spacing w:before="40" w:after="20"/>
        <w:jc w:val="left"/>
        <w:rPr>
          <w:lang w:eastAsia="zh-CN"/>
        </w:rPr>
      </w:pPr>
      <w:r>
        <w:rPr>
          <w:rFonts w:ascii="黑体" w:eastAsia="黑体" w:hAnsi="黑体"/>
          <w:lang w:eastAsia="zh-CN"/>
        </w:rPr>
        <w:t>建议A6 建立策略监控和停用机制</w:t>
      </w:r>
    </w:p>
    <w:p w14:paraId="31F2244C" w14:textId="77777777" w:rsidR="003833B2" w:rsidRDefault="00000000">
      <w:pPr>
        <w:ind w:firstLine="420"/>
        <w:rPr>
          <w:rFonts w:hint="eastAsia"/>
        </w:rPr>
      </w:pPr>
      <w:r>
        <w:rPr>
          <w:color w:val="25313A"/>
          <w:lang w:eastAsia="zh-CN"/>
        </w:rPr>
        <w:t>对应问题：</w:t>
      </w:r>
      <w:proofErr w:type="gramStart"/>
      <w:r>
        <w:rPr>
          <w:color w:val="25313A"/>
          <w:lang w:eastAsia="zh-CN"/>
        </w:rPr>
        <w:t>回测不能</w:t>
      </w:r>
      <w:proofErr w:type="gramEnd"/>
      <w:r>
        <w:rPr>
          <w:color w:val="25313A"/>
          <w:lang w:eastAsia="zh-CN"/>
        </w:rPr>
        <w:t>自动识别上线后的结构变化。改进措施：持续监控滚动排序相关、超额收益、回撤、换手、特征分布和策略间相关性；当指标连续越过预设阈值时，自动降权、停止新增</w:t>
      </w:r>
      <w:proofErr w:type="gramStart"/>
      <w:r>
        <w:rPr>
          <w:color w:val="25313A"/>
          <w:lang w:eastAsia="zh-CN"/>
        </w:rPr>
        <w:t>仓位</w:t>
      </w:r>
      <w:proofErr w:type="gramEnd"/>
      <w:r>
        <w:rPr>
          <w:color w:val="25313A"/>
          <w:lang w:eastAsia="zh-CN"/>
        </w:rPr>
        <w:t>并触发研究复核。预期效果：把模型失效风险转化为可执行流程。</w:t>
      </w:r>
      <w:r>
        <w:rPr>
          <w:color w:val="25313A"/>
        </w:rPr>
        <w:t>优先级：中高。正文引用：第2.5节、第3.5节。</w:t>
      </w:r>
    </w:p>
    <w:sectPr w:rsidR="003833B2" w:rsidSect="00034616">
      <w:headerReference w:type="default" r:id="rId17"/>
      <w:footerReference w:type="default" r:id="rId18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E7A6" w14:textId="77777777" w:rsidR="00020A7E" w:rsidRDefault="00020A7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B3762C0" w14:textId="77777777" w:rsidR="00020A7E" w:rsidRDefault="00020A7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23A4" w14:textId="77777777" w:rsidR="003833B2" w:rsidRDefault="00000000">
    <w:pPr>
      <w:pStyle w:val="a7"/>
      <w:jc w:val="center"/>
      <w:rPr>
        <w:rFonts w:hint="eastAsia"/>
      </w:rPr>
    </w:pPr>
    <w:r>
      <w:rPr>
        <w:color w:val="6B747C"/>
        <w:sz w:val="18"/>
      </w:rPr>
      <w:t xml:space="preserve">第 </w:t>
    </w:r>
    <w:r>
      <w:rPr>
        <w:color w:val="6B747C"/>
        <w:sz w:val="18"/>
      </w:rPr>
      <w:fldChar w:fldCharType="begin"/>
    </w:r>
    <w:r>
      <w:rPr>
        <w:color w:val="6B747C"/>
        <w:sz w:val="18"/>
      </w:rPr>
      <w:instrText>PAGE</w:instrText>
    </w:r>
    <w:r>
      <w:rPr>
        <w:color w:val="6B747C"/>
        <w:sz w:val="18"/>
      </w:rPr>
      <w:fldChar w:fldCharType="separate"/>
    </w:r>
    <w:r>
      <w:rPr>
        <w:color w:val="6B747C"/>
        <w:sz w:val="18"/>
      </w:rPr>
      <w:t>1</w:t>
    </w:r>
    <w:r>
      <w:rPr>
        <w:color w:val="6B747C"/>
        <w:sz w:val="18"/>
      </w:rPr>
      <w:fldChar w:fldCharType="end"/>
    </w:r>
    <w:r>
      <w:rPr>
        <w:color w:val="6B747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E986D" w14:textId="77777777" w:rsidR="00020A7E" w:rsidRDefault="00020A7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6DE3E42" w14:textId="77777777" w:rsidR="00020A7E" w:rsidRDefault="00020A7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4903" w14:textId="77777777" w:rsidR="003833B2" w:rsidRDefault="00000000">
    <w:pPr>
      <w:pStyle w:val="a5"/>
      <w:jc w:val="right"/>
      <w:rPr>
        <w:rFonts w:hint="eastAsia"/>
      </w:rPr>
    </w:pPr>
    <w:r>
      <w:rPr>
        <w:color w:val="6B747C"/>
        <w:sz w:val="18"/>
      </w:rPr>
      <w:t xml:space="preserve">TASK8 · </w:t>
    </w:r>
    <w:proofErr w:type="spellStart"/>
    <w:r>
      <w:rPr>
        <w:color w:val="6B747C"/>
        <w:sz w:val="18"/>
      </w:rPr>
      <w:t>量化交易学习成果报告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323395">
    <w:abstractNumId w:val="8"/>
  </w:num>
  <w:num w:numId="2" w16cid:durableId="324209298">
    <w:abstractNumId w:val="6"/>
  </w:num>
  <w:num w:numId="3" w16cid:durableId="847987788">
    <w:abstractNumId w:val="5"/>
  </w:num>
  <w:num w:numId="4" w16cid:durableId="1792505904">
    <w:abstractNumId w:val="4"/>
  </w:num>
  <w:num w:numId="5" w16cid:durableId="1952976429">
    <w:abstractNumId w:val="7"/>
  </w:num>
  <w:num w:numId="6" w16cid:durableId="893151805">
    <w:abstractNumId w:val="3"/>
  </w:num>
  <w:num w:numId="7" w16cid:durableId="341669767">
    <w:abstractNumId w:val="2"/>
  </w:num>
  <w:num w:numId="8" w16cid:durableId="1705523910">
    <w:abstractNumId w:val="1"/>
  </w:num>
  <w:num w:numId="9" w16cid:durableId="186332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7E"/>
    <w:rsid w:val="00034616"/>
    <w:rsid w:val="0006063C"/>
    <w:rsid w:val="0015074B"/>
    <w:rsid w:val="0029639D"/>
    <w:rsid w:val="00326F90"/>
    <w:rsid w:val="003833B2"/>
    <w:rsid w:val="00AA1D8D"/>
    <w:rsid w:val="00B47730"/>
    <w:rsid w:val="00CB0664"/>
    <w:rsid w:val="00ED6EE4"/>
    <w:rsid w:val="00EE0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E327A"/>
  <w14:defaultImageDpi w14:val="300"/>
  <w15:docId w15:val="{0B0B350D-A7AC-4F85-90F7-C59BE5CF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F6B8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5313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2F6B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25313A"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4324</Words>
  <Characters>4887</Characters>
  <Application>Microsoft Office Word</Application>
  <DocSecurity>0</DocSecurity>
  <Lines>287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从规则策略到机器学习选股：量化交易实践总结与多策略系统设计</dc:title>
  <dc:subject>TASK8 成果展示：专业报告撰写与策略路演</dc:subject>
  <dc:creator>李子平</dc:creator>
  <cp:keywords>量化交易, 双均线, 海龟策略, 机器学习, 多策略系统, 样本外回测</cp:keywords>
  <dc:description>generated by python-docx</dc:description>
  <cp:lastModifiedBy>子平 李</cp:lastModifiedBy>
  <cp:revision>2</cp:revision>
  <dcterms:created xsi:type="dcterms:W3CDTF">2013-12-23T23:15:00Z</dcterms:created>
  <dcterms:modified xsi:type="dcterms:W3CDTF">2026-07-25T15:46:00Z</dcterms:modified>
  <cp:category/>
</cp:coreProperties>
</file>