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EE37E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1838A1D3" w14:textId="2C0F9D74" w:rsidR="00547A4F" w:rsidRDefault="00547A4F" w:rsidP="00547A4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 w:rsidRPr="00547A4F">
        <w:rPr>
          <w:rFonts w:ascii="Garamond" w:eastAsia="Garamond" w:hAnsi="Garamond" w:cs="Garamond"/>
          <w:b/>
          <w:bCs/>
        </w:rPr>
        <w:t xml:space="preserve">- QUANTO </w:t>
      </w:r>
      <w:r>
        <w:rPr>
          <w:rFonts w:ascii="Garamond" w:eastAsia="Garamond" w:hAnsi="Garamond" w:cs="Garamond"/>
          <w:b/>
          <w:bCs/>
        </w:rPr>
        <w:t xml:space="preserve">AS CUSTAS REFERENTES À EXECUÇÃO DOS HONORÁRIOS </w:t>
      </w:r>
      <w:r w:rsidR="00E50A74">
        <w:rPr>
          <w:rFonts w:ascii="Garamond" w:eastAsia="Garamond" w:hAnsi="Garamond" w:cs="Garamond"/>
          <w:b/>
          <w:bCs/>
        </w:rPr>
        <w:t>–</w:t>
      </w:r>
    </w:p>
    <w:p w14:paraId="769FF85B" w14:textId="57C0171C" w:rsidR="00E50A74" w:rsidRPr="00547A4F" w:rsidRDefault="00E50A74" w:rsidP="00547A4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Juntada de GRERJ e pedido de reembolso às custas ora adiantadas -</w:t>
      </w:r>
    </w:p>
    <w:p w14:paraId="4FA4C889" w14:textId="77777777" w:rsidR="00547A4F" w:rsidRP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  <w:r w:rsidRPr="00547A4F">
        <w:rPr>
          <w:rFonts w:ascii="Garamond" w:eastAsia="Garamond" w:hAnsi="Garamond" w:cs="Garamond"/>
        </w:rPr>
        <w:tab/>
      </w:r>
    </w:p>
    <w:p w14:paraId="6A6C07A5" w14:textId="4F2A68BF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  <w:r w:rsidRPr="00547A4F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Conforme citado</w:t>
      </w:r>
      <w:r w:rsidR="00E50A74">
        <w:rPr>
          <w:rFonts w:ascii="Garamond" w:eastAsia="Garamond" w:hAnsi="Garamond" w:cs="Garamond"/>
        </w:rPr>
        <w:t xml:space="preserve"> em petição anterior</w:t>
      </w:r>
      <w:r>
        <w:rPr>
          <w:rFonts w:ascii="Garamond" w:eastAsia="Garamond" w:hAnsi="Garamond" w:cs="Garamond"/>
        </w:rPr>
        <w:t xml:space="preserve">, </w:t>
      </w:r>
      <w:r w:rsidRPr="00547A4F">
        <w:rPr>
          <w:rFonts w:ascii="Garamond" w:eastAsia="Garamond" w:hAnsi="Garamond" w:cs="Garamond"/>
        </w:rPr>
        <w:t>a jurisprudência e a Lei são uníssonas no sentido que o responsável pelo pagamento das custas judiciais é de responsabilidade do vencido e/ou de quem deu causa à Ação</w:t>
      </w:r>
      <w:r>
        <w:rPr>
          <w:rFonts w:ascii="Garamond" w:eastAsia="Garamond" w:hAnsi="Garamond" w:cs="Garamond"/>
        </w:rPr>
        <w:t>, sendo às custas reembolsadas caso a parte vencedora as tenha adiantado.</w:t>
      </w:r>
    </w:p>
    <w:p w14:paraId="25A3CA6F" w14:textId="77777777" w:rsidR="00547A4F" w:rsidRDefault="00547A4F" w:rsidP="00E50A74">
      <w:pPr>
        <w:jc w:val="both"/>
        <w:rPr>
          <w:rFonts w:ascii="Garamond" w:eastAsia="Garamond" w:hAnsi="Garamond" w:cs="Garamond"/>
        </w:rPr>
      </w:pPr>
    </w:p>
    <w:p w14:paraId="78FC6D72" w14:textId="77777777" w:rsidR="00547A4F" w:rsidRDefault="00547A4F" w:rsidP="00547A4F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06FF978B" w14:textId="77777777" w:rsidR="00547A4F" w:rsidRDefault="00547A4F" w:rsidP="00547A4F">
      <w:pPr>
        <w:jc w:val="both"/>
        <w:rPr>
          <w:rFonts w:ascii="Garamond" w:hAnsi="Garamond"/>
        </w:rPr>
      </w:pPr>
    </w:p>
    <w:p w14:paraId="16655CFB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49ACC67A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</w:p>
    <w:p w14:paraId="04470021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32DCA23E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</w:p>
    <w:p w14:paraId="5548FD76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§ 2º </w:t>
      </w:r>
      <w:r w:rsidRPr="00E50A74">
        <w:rPr>
          <w:rFonts w:ascii="Garamond" w:hAnsi="Garamond"/>
          <w:b/>
          <w:bCs/>
          <w:sz w:val="22"/>
          <w:szCs w:val="22"/>
        </w:rPr>
        <w:t>A sentença condenará o vencido a pagar ao vencedor as despesas que antecipou</w:t>
      </w:r>
      <w:r>
        <w:rPr>
          <w:rFonts w:ascii="Garamond" w:hAnsi="Garamond"/>
          <w:sz w:val="22"/>
          <w:szCs w:val="22"/>
        </w:rPr>
        <w:t>.</w:t>
      </w:r>
    </w:p>
    <w:p w14:paraId="6C308902" w14:textId="77777777" w:rsidR="00547A4F" w:rsidRDefault="00547A4F" w:rsidP="00E50A74">
      <w:pPr>
        <w:jc w:val="both"/>
        <w:rPr>
          <w:rFonts w:ascii="Garamond" w:hAnsi="Garamond"/>
        </w:rPr>
      </w:pPr>
    </w:p>
    <w:p w14:paraId="01DC2B12" w14:textId="1D17FDE5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766D041D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F43BDAE" w14:textId="29013D08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No entendimento da Ministra, ao efetuar o pagamento inicial de custas e/ou taxa judiciária,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74D09167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0670A6B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50DD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FB5E54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5029EFCF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3E1C20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36DDAFB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71AB7877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5A395DC6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65CF482C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5C10B89E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0887702D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EE71B9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(REsp n. 2.026.289/PR, relatora Ministra Nancy Andrighi, Terceira Turma, julgado em 6/12/2022, DJe de 9/12/2022.) (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31AD810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7DF8D9F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2648BBE5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7AC57907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proofErr w:type="spellStart"/>
      <w:r>
        <w:rPr>
          <w:rFonts w:ascii="Garamond" w:eastAsia="Garamond" w:hAnsi="Garamond" w:cs="Garamond"/>
          <w:i/>
          <w:iCs/>
        </w:rPr>
        <w:t>Lumen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i/>
          <w:iCs/>
        </w:rPr>
        <w:t>Juris</w:t>
      </w:r>
      <w:r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04C1001A" w14:textId="77777777" w:rsidR="00547A4F" w:rsidRDefault="00547A4F" w:rsidP="00547A4F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7B2D90FA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Transcreve-se abaixo julgados do Ilmo. TJRJ:</w:t>
      </w:r>
    </w:p>
    <w:p w14:paraId="1E1FB51E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17401C3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1A7462B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7DFBEE4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44F0236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B8B26E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4.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3460F2E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5.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0653EA4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5C4F758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6F5C2CF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 xml:space="preserve">parte que houver requerido a perícia ou rateada quando a perícia for determinada de ofício ou requerida por ambas as partes¿. </w:t>
      </w:r>
    </w:p>
    <w:p w14:paraId="3E3685D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4CB8FE8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7009DCE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1.750.562/RJ, Rel. Ministro Marco Aurélio 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Bellizze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, Terceira Turma, julgado em 18.03.2019, DJe 22.03.2019). (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n. 1.568.825/SC, relator Ministro 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Luis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Felipe Salomão, Quarta Turma, julgado em 18/2/2020, DJe de 3/3/2020.)</w:t>
      </w:r>
    </w:p>
    <w:p w14:paraId="456BA165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4D1B6AB2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2FD901B0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33227A4E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4CBAD31C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3641ABA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10639870" w14:textId="77777777" w:rsidR="00547A4F" w:rsidRDefault="00547A4F" w:rsidP="00547A4F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57DBC7F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5925EC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7B4B36F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>aquele que perdeu a demanda, a pagar as despesas processuais e os honorários advocatícios ao patrono do vencedor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tal critério não seja suficiente,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 xml:space="preserve">cumpriram o prazo estipulado contratualmente para a entrega do imóvel adquirido pelo recorrido.  </w:t>
      </w:r>
    </w:p>
    <w:p w14:paraId="0F8945F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04D6467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04404AB1" w14:textId="77777777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</w:p>
    <w:p w14:paraId="200F8F38" w14:textId="7683BBC2" w:rsidR="002C5AC0" w:rsidRDefault="00547A4F" w:rsidP="00E50A74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Assim, </w:t>
      </w:r>
      <w:r w:rsidR="00E50A74">
        <w:rPr>
          <w:rFonts w:ascii="Garamond" w:eastAsia="Garamond" w:hAnsi="Garamond" w:cs="Garamond"/>
        </w:rPr>
        <w:t>como foi determinado que o recolhimento das custas deverá ser adiantado pelos Advogados/Exequentes quanto à Execução dos honorários sucumbenciais</w:t>
      </w:r>
      <w:r w:rsidR="00B74554">
        <w:rPr>
          <w:rFonts w:ascii="Garamond" w:eastAsia="Garamond" w:hAnsi="Garamond" w:cs="Garamond"/>
        </w:rPr>
        <w:t>, para posterior reembolso,</w:t>
      </w:r>
      <w:r w:rsidR="00E50A74">
        <w:rPr>
          <w:rFonts w:ascii="Garamond" w:eastAsia="Garamond" w:hAnsi="Garamond" w:cs="Garamond"/>
        </w:rPr>
        <w:t xml:space="preserve"> requer-se:</w:t>
      </w:r>
    </w:p>
    <w:p w14:paraId="6049F64B" w14:textId="77777777" w:rsidR="00E50A74" w:rsidRDefault="00E50A74" w:rsidP="00E50A74">
      <w:pPr>
        <w:spacing w:line="360" w:lineRule="auto"/>
        <w:jc w:val="both"/>
        <w:rPr>
          <w:rFonts w:ascii="Garamond" w:eastAsia="Garamond" w:hAnsi="Garamond" w:cs="Garamond"/>
        </w:rPr>
      </w:pPr>
    </w:p>
    <w:p w14:paraId="4626D070" w14:textId="58328F95" w:rsidR="00E50A74" w:rsidRDefault="00E50A74" w:rsidP="00E50A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E50A74">
        <w:rPr>
          <w:rFonts w:ascii="Garamond" w:eastAsia="Garamond" w:hAnsi="Garamond" w:cs="Garamond"/>
          <w:b/>
          <w:bCs/>
        </w:rPr>
        <w:t>A juntada do comprovante</w:t>
      </w:r>
      <w:r>
        <w:rPr>
          <w:rFonts w:ascii="Garamond" w:eastAsia="Garamond" w:hAnsi="Garamond" w:cs="Garamond"/>
        </w:rPr>
        <w:t xml:space="preserve"> da GRERJ nº GGGGGGGGGG;</w:t>
      </w:r>
    </w:p>
    <w:p w14:paraId="758A8924" w14:textId="31B9ECAA" w:rsidR="00E50A74" w:rsidRDefault="00E50A74" w:rsidP="00E50A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Conforme é possível verificar, também já se adiantou o pagamento das custas para um segundo RPV, o qual servirá para que o Estado do Rio de Janeiro seja intimado ao reembolso das custas ora arcadas, dito isto, requer </w:t>
      </w:r>
      <w:r w:rsidRPr="00E50A74">
        <w:rPr>
          <w:rFonts w:ascii="Garamond" w:eastAsia="Garamond" w:hAnsi="Garamond" w:cs="Garamond"/>
          <w:b/>
          <w:bCs/>
        </w:rPr>
        <w:t>o envio de RPV no valor das custas ora recolhidas</w:t>
      </w:r>
      <w:r>
        <w:rPr>
          <w:rFonts w:ascii="Garamond" w:eastAsia="Garamond" w:hAnsi="Garamond" w:cs="Garamond"/>
        </w:rPr>
        <w:t xml:space="preserve"> para que o Estado do Rio de Janeiro </w:t>
      </w:r>
      <w:r w:rsidRPr="00E50A74">
        <w:rPr>
          <w:rFonts w:ascii="Garamond" w:eastAsia="Garamond" w:hAnsi="Garamond" w:cs="Garamond"/>
          <w:b/>
          <w:bCs/>
        </w:rPr>
        <w:t>faça o devido reembolso</w:t>
      </w:r>
      <w:r>
        <w:rPr>
          <w:rFonts w:ascii="Garamond" w:eastAsia="Garamond" w:hAnsi="Garamond" w:cs="Garamond"/>
        </w:rPr>
        <w:t xml:space="preserve">, o qual deverá ser pago com a </w:t>
      </w:r>
      <w:r w:rsidRPr="00E50A74">
        <w:rPr>
          <w:rFonts w:ascii="Garamond" w:eastAsia="Garamond" w:hAnsi="Garamond" w:cs="Garamond"/>
          <w:b/>
          <w:bCs/>
          <w:u w:val="single"/>
        </w:rPr>
        <w:t>devida atualização, sob pena de novo RPV para que pague o valor correto</w:t>
      </w:r>
      <w:r>
        <w:rPr>
          <w:rFonts w:ascii="Garamond" w:eastAsia="Garamond" w:hAnsi="Garamond" w:cs="Garamond"/>
        </w:rPr>
        <w:t>;</w:t>
      </w:r>
    </w:p>
    <w:p w14:paraId="08874A0E" w14:textId="4F0C67A5" w:rsidR="00E50A74" w:rsidRPr="00E50A74" w:rsidRDefault="00E50A74" w:rsidP="00E50A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E50A74">
        <w:rPr>
          <w:rFonts w:ascii="Garamond" w:eastAsia="Garamond" w:hAnsi="Garamond" w:cs="Garamond"/>
          <w:b/>
          <w:bCs/>
        </w:rPr>
        <w:t>A expedição de Mandado de Pagamento</w:t>
      </w:r>
      <w:r>
        <w:rPr>
          <w:rFonts w:ascii="Garamond" w:eastAsia="Garamond" w:hAnsi="Garamond" w:cs="Garamond"/>
        </w:rPr>
        <w:t xml:space="preserve"> do valor já depositado em juízo em nom</w:t>
      </w:r>
      <w:r w:rsidR="00042CE7">
        <w:rPr>
          <w:rFonts w:ascii="Garamond" w:eastAsia="Garamond" w:hAnsi="Garamond" w:cs="Garamond"/>
        </w:rPr>
        <w:t>e</w:t>
      </w:r>
      <w:r>
        <w:rPr>
          <w:rFonts w:ascii="Garamond" w:eastAsia="Garamond" w:hAnsi="Garamond" w:cs="Garamond"/>
        </w:rPr>
        <w:t xml:space="preserve"> da Patrona, Liz Werner Formaggini, OAB/RJ 184.888, CPF 135.583.857-64, na conta do Banco Bradesco, </w:t>
      </w:r>
      <w:r w:rsidRPr="00E50A74">
        <w:rPr>
          <w:rFonts w:ascii="Garamond" w:eastAsia="Garamond" w:hAnsi="Garamond" w:cs="Garamond"/>
        </w:rPr>
        <w:t>agência 0978, conta corrente individual 0522247-8</w:t>
      </w:r>
      <w:r>
        <w:rPr>
          <w:rFonts w:ascii="Garamond" w:eastAsia="Garamond" w:hAnsi="Garamond" w:cs="Garamond"/>
        </w:rPr>
        <w:t>.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EE37E2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44F67FDC" w:rsidR="007F2B2A" w:rsidRDefault="00EE37E2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042CE7">
        <w:rPr>
          <w:rFonts w:ascii="Garamond" w:eastAsia="Garamond" w:hAnsi="Garamond" w:cs="Garamond"/>
          <w:noProof/>
        </w:rPr>
        <w:t>15 de maio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EE37E2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EE37E2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EE37E2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EE37E2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EE37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EE37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EE37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26C8B7D4" w:rsidR="007F2B2A" w:rsidRDefault="006949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D410193" wp14:editId="1AD965E6">
          <wp:simplePos x="0" y="0"/>
          <wp:positionH relativeFrom="column">
            <wp:posOffset>0</wp:posOffset>
          </wp:positionH>
          <wp:positionV relativeFrom="paragraph">
            <wp:posOffset>-151074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7E2"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392836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FEB227A"/>
    <w:multiLevelType w:val="hybridMultilevel"/>
    <w:tmpl w:val="FAE83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3"/>
  </w:num>
  <w:num w:numId="2" w16cid:durableId="1407072931">
    <w:abstractNumId w:val="1"/>
  </w:num>
  <w:num w:numId="3" w16cid:durableId="546576020">
    <w:abstractNumId w:val="0"/>
  </w:num>
  <w:num w:numId="4" w16cid:durableId="19597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42CE7"/>
    <w:rsid w:val="00055482"/>
    <w:rsid w:val="00134FAF"/>
    <w:rsid w:val="002665BB"/>
    <w:rsid w:val="002C5AC0"/>
    <w:rsid w:val="00492396"/>
    <w:rsid w:val="004F17AB"/>
    <w:rsid w:val="00547A4F"/>
    <w:rsid w:val="0069495B"/>
    <w:rsid w:val="0070535F"/>
    <w:rsid w:val="007809B5"/>
    <w:rsid w:val="007A3A6F"/>
    <w:rsid w:val="007F2B2A"/>
    <w:rsid w:val="00861393"/>
    <w:rsid w:val="00892252"/>
    <w:rsid w:val="009B0D73"/>
    <w:rsid w:val="00A13186"/>
    <w:rsid w:val="00B74554"/>
    <w:rsid w:val="00C34D26"/>
    <w:rsid w:val="00C44140"/>
    <w:rsid w:val="00C75E92"/>
    <w:rsid w:val="00D74827"/>
    <w:rsid w:val="00DF5D54"/>
    <w:rsid w:val="00E50A74"/>
    <w:rsid w:val="00E87380"/>
    <w:rsid w:val="00EE37E2"/>
    <w:rsid w:val="00F240F3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4</cp:revision>
  <cp:lastPrinted>2023-06-14T18:32:00Z</cp:lastPrinted>
  <dcterms:created xsi:type="dcterms:W3CDTF">2024-05-11T18:00:00Z</dcterms:created>
  <dcterms:modified xsi:type="dcterms:W3CDTF">2024-05-15T14:14:00Z</dcterms:modified>
</cp:coreProperties>
</file>