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3875D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08FDC9C4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D025188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4B286881" w14:textId="77777777" w:rsidR="00F43234" w:rsidRDefault="00F43234" w:rsidP="00D74827">
      <w:pPr>
        <w:jc w:val="both"/>
        <w:rPr>
          <w:rFonts w:ascii="Garamond" w:eastAsia="Garamond" w:hAnsi="Garamond" w:cs="Garamond"/>
        </w:rPr>
      </w:pPr>
    </w:p>
    <w:p w14:paraId="49D9F881" w14:textId="77777777" w:rsidR="00E6412F" w:rsidRDefault="00E6412F" w:rsidP="00E6412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QUANTO AS CUSTAS REFERENTES À EXECUÇÃO DOS HONORÁRIOS –</w:t>
      </w:r>
    </w:p>
    <w:p w14:paraId="4A1F3924" w14:textId="77777777" w:rsidR="00E6412F" w:rsidRDefault="00E6412F" w:rsidP="00E6412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Juntada de GRERJ e pedido de reembolso às custas ora adiantadas -</w:t>
      </w:r>
    </w:p>
    <w:p w14:paraId="2ADFF079" w14:textId="77777777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6C1915FD" w14:textId="143DC2FE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jurisprudência e a Lei são uníssonas no sentido que o responsável pelo pagamento das custas judiciais é de responsabilidade do vencido e/ou de quem deu causa à Ação, sendo às custas reembolsadas caso a parte vencedora as tenha adiantado.</w:t>
      </w:r>
    </w:p>
    <w:p w14:paraId="196D886B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1A172DF1" w14:textId="77777777" w:rsidR="00E6412F" w:rsidRDefault="00E6412F" w:rsidP="00E6412F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4A2B74" w14:textId="77777777" w:rsidR="00E6412F" w:rsidRDefault="00E6412F" w:rsidP="00E6412F">
      <w:pPr>
        <w:jc w:val="both"/>
        <w:rPr>
          <w:rFonts w:ascii="Garamond" w:hAnsi="Garamond"/>
        </w:rPr>
      </w:pPr>
    </w:p>
    <w:p w14:paraId="6671BDC1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489934B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1CE47998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04196B6D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5E3AF8B5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 xml:space="preserve">§ 2º </w:t>
      </w:r>
      <w:r w:rsidRPr="00E6412F">
        <w:rPr>
          <w:rFonts w:ascii="Garamond" w:hAnsi="Garamond"/>
          <w:b/>
          <w:bCs/>
          <w:sz w:val="20"/>
          <w:szCs w:val="20"/>
        </w:rPr>
        <w:t>A sentença condenará o vencido a pagar ao vencedor as despesas que antecipou</w:t>
      </w:r>
      <w:r w:rsidRPr="00E6412F">
        <w:rPr>
          <w:rFonts w:ascii="Garamond" w:hAnsi="Garamond"/>
          <w:sz w:val="20"/>
          <w:szCs w:val="20"/>
        </w:rPr>
        <w:t>.</w:t>
      </w:r>
    </w:p>
    <w:p w14:paraId="176415DE" w14:textId="77777777" w:rsidR="00E6412F" w:rsidRDefault="00E6412F" w:rsidP="00E6412F">
      <w:pPr>
        <w:jc w:val="both"/>
        <w:rPr>
          <w:rFonts w:ascii="Garamond" w:hAnsi="Garamond"/>
        </w:rPr>
      </w:pPr>
    </w:p>
    <w:p w14:paraId="75A79E84" w14:textId="77777777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3A7928FC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55262F47" w14:textId="77777777" w:rsidR="00E6412F" w:rsidRDefault="00E6412F" w:rsidP="00E6412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No entendimento da Ministra, ao efetuar o pagamento inicial de custas e/ou taxa judiciária,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4F08791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A8D982D" w14:textId="77777777" w:rsidR="00E6412F" w:rsidRDefault="00E6412F" w:rsidP="00E6412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7513A94C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E52B63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PROCESSUAL CIVIL. RECURSO ESPECIAL. AÇÃO DE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EXECUÇÃO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REMUNERAÇÃO. DEPOSITÁRIO.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RESSARCIMENTO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GUARDA E CONSERVAÇÃO DOS BENS. SITUAÇÃO DOS BENS. TABELA DE CUSTAS.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PAGAMENTO AO FINAL. OBRIGAÇÃO PROVISÓRIA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1625C563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4212132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4A765F4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3A319D3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1C68A42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756DC128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0E9811B2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7.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7AEB9E5F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8. Recurso especial não provido.</w:t>
      </w:r>
    </w:p>
    <w:p w14:paraId="3C279201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grifos nossos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)</w:t>
      </w:r>
    </w:p>
    <w:p w14:paraId="551914FE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4BD08479" w14:textId="234B7EB9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Assim, </w:t>
      </w:r>
      <w:r>
        <w:rPr>
          <w:rFonts w:ascii="Garamond" w:eastAsia="Garamond" w:hAnsi="Garamond" w:cs="Garamond"/>
        </w:rPr>
        <w:t>em razão da juntada da GRERJ nº GGGGGGGGGGG no valor de R$ QQQQ, deve ser adicionado ao valor a ser pago pelo Estado à título de honorários sucumbenciais o valor a ser reembolsado, o qual totaliza R$ SSSSSSS.</w:t>
      </w:r>
    </w:p>
    <w:p w14:paraId="5129AA95" w14:textId="77777777" w:rsidR="00E6412F" w:rsidRDefault="00E6412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4C2E19F9" w14:textId="77777777" w:rsidR="004D0861" w:rsidRDefault="004D0861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4B71EEB1" w14:textId="2BA608B3" w:rsidR="00F43234" w:rsidRPr="00F43234" w:rsidRDefault="00F43234" w:rsidP="00F43234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 w:rsidRPr="00F43234">
        <w:rPr>
          <w:rFonts w:ascii="Garamond" w:eastAsia="Garamond" w:hAnsi="Garamond" w:cs="Garamond"/>
          <w:b/>
          <w:bCs/>
        </w:rPr>
        <w:lastRenderedPageBreak/>
        <w:t xml:space="preserve">- QUANTO </w:t>
      </w:r>
      <w:r>
        <w:rPr>
          <w:rFonts w:ascii="Garamond" w:eastAsia="Garamond" w:hAnsi="Garamond" w:cs="Garamond"/>
          <w:b/>
          <w:bCs/>
        </w:rPr>
        <w:t>AOS VALORES PARA RPV</w:t>
      </w:r>
      <w:r w:rsidRPr="00F43234">
        <w:rPr>
          <w:rFonts w:ascii="Garamond" w:eastAsia="Garamond" w:hAnsi="Garamond" w:cs="Garamond"/>
          <w:b/>
          <w:bCs/>
        </w:rPr>
        <w:t xml:space="preserve"> -</w:t>
      </w:r>
    </w:p>
    <w:p w14:paraId="6CDEC774" w14:textId="77777777" w:rsidR="00F43234" w:rsidRP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</w:p>
    <w:p w14:paraId="08E7C038" w14:textId="3143E6B1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Considerando a homologação, cumpre informar abaixo o valor para expedição da RPV:</w:t>
      </w:r>
    </w:p>
    <w:p w14:paraId="22149A65" w14:textId="77777777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38229F3F" w14:textId="4E4511BE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>Valor homologado</w:t>
      </w:r>
      <w:r>
        <w:rPr>
          <w:rFonts w:ascii="Garamond" w:eastAsia="Garamond" w:hAnsi="Garamond" w:cs="Garamond"/>
        </w:rPr>
        <w:t>/valor RPV</w:t>
      </w:r>
      <w:r w:rsidRPr="00F43234">
        <w:rPr>
          <w:rFonts w:ascii="Garamond" w:eastAsia="Garamond" w:hAnsi="Garamond" w:cs="Garamond"/>
        </w:rPr>
        <w:t xml:space="preserve">: </w:t>
      </w:r>
      <w:r w:rsidRPr="00F43234">
        <w:rPr>
          <w:rFonts w:ascii="Garamond" w:eastAsia="Garamond" w:hAnsi="Garamond" w:cs="Garamond"/>
          <w:b/>
          <w:bCs/>
        </w:rPr>
        <w:t xml:space="preserve">VALORBRUTO | Desconto previdenciário: </w:t>
      </w:r>
      <w:r w:rsidRPr="00F43234">
        <w:rPr>
          <w:rFonts w:ascii="Garamond" w:eastAsia="Garamond" w:hAnsi="Garamond" w:cs="Garamond"/>
        </w:rPr>
        <w:t xml:space="preserve">VALORRIOPREV </w:t>
      </w:r>
      <w:r w:rsidRPr="00F43234">
        <w:rPr>
          <w:rFonts w:ascii="Garamond" w:eastAsia="Garamond" w:hAnsi="Garamond" w:cs="Garamond"/>
          <w:b/>
          <w:bCs/>
        </w:rPr>
        <w:t xml:space="preserve">| Valor a ser pago: </w:t>
      </w:r>
      <w:r w:rsidRPr="00F43234">
        <w:rPr>
          <w:rFonts w:ascii="Garamond" w:eastAsia="Garamond" w:hAnsi="Garamond" w:cs="Garamond"/>
        </w:rPr>
        <w:t>VALORFINAL</w:t>
      </w:r>
      <w:r w:rsidR="00E6412F">
        <w:rPr>
          <w:rFonts w:ascii="Garamond" w:eastAsia="Garamond" w:hAnsi="Garamond" w:cs="Garamond"/>
        </w:rPr>
        <w:t xml:space="preserve"> | Valor da RPV dos honorários: R$ SSSSSSSS.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4C7EF54" w14:textId="37B8ECDB" w:rsidR="00F43234" w:rsidRDefault="00E6412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RPV referente aos honorários deve ser expedida em nome de Liz Werner Formaggini, OAB/RJ 184.888, CPF 135.583.857-64.</w:t>
      </w:r>
    </w:p>
    <w:p w14:paraId="595D1993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CONCLUSÃO -</w:t>
      </w:r>
    </w:p>
    <w:p w14:paraId="45F6BC9D" w14:textId="501465D6" w:rsidR="002C5AC0" w:rsidRDefault="002C5AC0" w:rsidP="004D0861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</w:t>
      </w:r>
      <w:r w:rsidR="004D0861">
        <w:rPr>
          <w:rFonts w:ascii="Garamond" w:eastAsia="Garamond" w:hAnsi="Garamond" w:cs="Garamond"/>
        </w:rPr>
        <w:t>r</w:t>
      </w:r>
      <w:r>
        <w:rPr>
          <w:rFonts w:ascii="Garamond" w:eastAsia="Garamond" w:hAnsi="Garamond" w:cs="Garamond"/>
        </w:rPr>
        <w:t xml:space="preserve"> </w:t>
      </w:r>
      <w:r w:rsidR="004D0861"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</w:t>
      </w:r>
      <w:r w:rsidR="00F43234">
        <w:rPr>
          <w:rFonts w:ascii="Garamond" w:eastAsia="Garamond" w:hAnsi="Garamond" w:cs="Garamond"/>
        </w:rPr>
        <w:t>expedição da</w:t>
      </w:r>
      <w:r w:rsidR="004D0861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 xml:space="preserve"> RPV</w:t>
      </w:r>
      <w:r w:rsidR="004D0861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 xml:space="preserve"> para que o Estado seja intimado a pagar o</w:t>
      </w:r>
      <w:r w:rsidR="00E6412F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 xml:space="preserve"> valor</w:t>
      </w:r>
      <w:r w:rsidR="00E6412F">
        <w:rPr>
          <w:rFonts w:ascii="Garamond" w:eastAsia="Garamond" w:hAnsi="Garamond" w:cs="Garamond"/>
        </w:rPr>
        <w:t>es</w:t>
      </w:r>
      <w:r w:rsidR="00F43234">
        <w:rPr>
          <w:rFonts w:ascii="Garamond" w:eastAsia="Garamond" w:hAnsi="Garamond" w:cs="Garamond"/>
        </w:rPr>
        <w:t xml:space="preserve"> ora homologado</w:t>
      </w:r>
      <w:r w:rsidR="00E6412F">
        <w:rPr>
          <w:rFonts w:ascii="Garamond" w:eastAsia="Garamond" w:hAnsi="Garamond" w:cs="Garamond"/>
        </w:rPr>
        <w:t>s</w:t>
      </w:r>
      <w:r w:rsidR="00F43234">
        <w:rPr>
          <w:rFonts w:ascii="Garamond" w:eastAsia="Garamond" w:hAnsi="Garamond" w:cs="Garamond"/>
        </w:rPr>
        <w:t>, conforme informados acima</w:t>
      </w:r>
      <w:r w:rsidR="00E6412F">
        <w:rPr>
          <w:rFonts w:ascii="Garamond" w:eastAsia="Garamond" w:hAnsi="Garamond" w:cs="Garamond"/>
        </w:rPr>
        <w:t>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6DA7176A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E6412F">
        <w:rPr>
          <w:rFonts w:ascii="Garamond" w:eastAsia="Garamond" w:hAnsi="Garamond" w:cs="Garamond"/>
          <w:noProof/>
        </w:rPr>
        <w:t>22 de maio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5DF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FEB227A"/>
    <w:multiLevelType w:val="hybridMultilevel"/>
    <w:tmpl w:val="FAE83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3"/>
  </w:num>
  <w:num w:numId="2" w16cid:durableId="1407072931">
    <w:abstractNumId w:val="1"/>
  </w:num>
  <w:num w:numId="3" w16cid:durableId="546576020">
    <w:abstractNumId w:val="0"/>
  </w:num>
  <w:num w:numId="4" w16cid:durableId="198785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228A6"/>
    <w:rsid w:val="00134FAF"/>
    <w:rsid w:val="002665BB"/>
    <w:rsid w:val="002C5AC0"/>
    <w:rsid w:val="003875DF"/>
    <w:rsid w:val="004D0861"/>
    <w:rsid w:val="004F17AB"/>
    <w:rsid w:val="00547A4F"/>
    <w:rsid w:val="00614C96"/>
    <w:rsid w:val="0069495B"/>
    <w:rsid w:val="007809B5"/>
    <w:rsid w:val="007A3A6F"/>
    <w:rsid w:val="007F2B2A"/>
    <w:rsid w:val="00861393"/>
    <w:rsid w:val="00892252"/>
    <w:rsid w:val="00970CCE"/>
    <w:rsid w:val="00A13186"/>
    <w:rsid w:val="00C34D26"/>
    <w:rsid w:val="00C44140"/>
    <w:rsid w:val="00C75E92"/>
    <w:rsid w:val="00D74827"/>
    <w:rsid w:val="00DF5D54"/>
    <w:rsid w:val="00E6412F"/>
    <w:rsid w:val="00E87380"/>
    <w:rsid w:val="00EE37E2"/>
    <w:rsid w:val="00F240F3"/>
    <w:rsid w:val="00F4323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2</cp:revision>
  <cp:lastPrinted>2023-06-14T18:32:00Z</cp:lastPrinted>
  <dcterms:created xsi:type="dcterms:W3CDTF">2024-05-22T11:08:00Z</dcterms:created>
  <dcterms:modified xsi:type="dcterms:W3CDTF">2024-05-22T11:08:00Z</dcterms:modified>
</cp:coreProperties>
</file>