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E869D" w14:textId="77777777" w:rsidR="007F2B2A" w:rsidRDefault="00E9465B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EXMO. SR. DESEMBARGADOR PRESIDENTE DO TRIBUNAL DE JUSTIÇA DO ESTADO DO RIO DE JANEIRO</w:t>
      </w:r>
    </w:p>
    <w:p w14:paraId="1DDF1073" w14:textId="77777777" w:rsidR="007F2B2A" w:rsidRPr="0012725A" w:rsidRDefault="007F2B2A">
      <w:pPr>
        <w:spacing w:line="360" w:lineRule="auto"/>
        <w:jc w:val="both"/>
        <w:rPr>
          <w:rFonts w:ascii="Garamond" w:eastAsia="Garamond" w:hAnsi="Garamond" w:cs="Garamond"/>
          <w:b/>
        </w:rPr>
      </w:pPr>
    </w:p>
    <w:p w14:paraId="1186D656" w14:textId="3DAE4ECA" w:rsidR="007F2B2A" w:rsidRPr="0012725A" w:rsidRDefault="0012725A">
      <w:pPr>
        <w:spacing w:line="360" w:lineRule="auto"/>
        <w:jc w:val="both"/>
        <w:rPr>
          <w:rFonts w:ascii="Garamond" w:eastAsia="Garamond" w:hAnsi="Garamond" w:cs="Garamond"/>
          <w:b/>
        </w:rPr>
      </w:pPr>
      <w:r w:rsidRPr="0012725A">
        <w:rPr>
          <w:rFonts w:ascii="Garamond" w:eastAsia="Garamond" w:hAnsi="Garamond" w:cs="Garamond"/>
          <w:b/>
        </w:rPr>
        <w:t>Processo nº [PROCESSO]</w:t>
      </w:r>
    </w:p>
    <w:p w14:paraId="370A1A3C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99D3E66" w14:textId="77777777" w:rsidR="007F2B2A" w:rsidRDefault="007F2B2A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0A813380" w14:textId="7FB0AE65" w:rsidR="007F2B2A" w:rsidRDefault="0012725A" w:rsidP="0002731E">
      <w:pPr>
        <w:spacing w:line="360" w:lineRule="auto"/>
        <w:jc w:val="both"/>
        <w:rPr>
          <w:rFonts w:ascii="Garamond" w:eastAsia="Garamond" w:hAnsi="Garamond" w:cs="Garamond"/>
        </w:rPr>
      </w:pPr>
      <w:r w:rsidRPr="0012725A">
        <w:rPr>
          <w:rFonts w:ascii="Garamond" w:eastAsia="Garamond" w:hAnsi="Garamond" w:cs="Garamond"/>
          <w:b/>
        </w:rPr>
        <w:t>[NOME]</w:t>
      </w:r>
      <w:r w:rsidR="00F67C47">
        <w:rPr>
          <w:rFonts w:ascii="Garamond" w:eastAsia="Garamond" w:hAnsi="Garamond" w:cs="Garamond"/>
        </w:rPr>
        <w:t xml:space="preserve">, </w:t>
      </w:r>
      <w:r w:rsidR="0002731E">
        <w:rPr>
          <w:rFonts w:ascii="Garamond" w:eastAsia="Garamond" w:hAnsi="Garamond" w:cs="Garamond"/>
        </w:rPr>
        <w:t>devidamente qualificada no</w:t>
      </w:r>
      <w:r w:rsidR="00F67C47">
        <w:rPr>
          <w:rFonts w:ascii="Garamond" w:eastAsia="Garamond" w:hAnsi="Garamond" w:cs="Garamond"/>
        </w:rPr>
        <w:t xml:space="preserve"> cumprimento d</w:t>
      </w:r>
      <w:r w:rsidR="0002731E">
        <w:rPr>
          <w:rFonts w:ascii="Garamond" w:eastAsia="Garamond" w:hAnsi="Garamond" w:cs="Garamond"/>
        </w:rPr>
        <w:t>e</w:t>
      </w:r>
      <w:r w:rsidR="00F67C47">
        <w:rPr>
          <w:rFonts w:ascii="Garamond" w:eastAsia="Garamond" w:hAnsi="Garamond" w:cs="Garamond"/>
        </w:rPr>
        <w:t xml:space="preserve"> sentença </w:t>
      </w:r>
      <w:r w:rsidR="0002731E">
        <w:rPr>
          <w:rFonts w:ascii="Garamond" w:eastAsia="Garamond" w:hAnsi="Garamond" w:cs="Garamond"/>
        </w:rPr>
        <w:t xml:space="preserve">que move </w:t>
      </w:r>
      <w:r w:rsidR="00F67C47">
        <w:rPr>
          <w:rFonts w:ascii="Garamond" w:eastAsia="Garamond" w:hAnsi="Garamond" w:cs="Garamond"/>
        </w:rPr>
        <w:t xml:space="preserve">em face de </w:t>
      </w:r>
      <w:r w:rsidR="00F67C47">
        <w:rPr>
          <w:rFonts w:ascii="Garamond" w:eastAsia="Garamond" w:hAnsi="Garamond" w:cs="Garamond"/>
          <w:b/>
        </w:rPr>
        <w:t>ESTADO DO RIO DE JANEIRO</w:t>
      </w:r>
      <w:r w:rsidR="00F67C47">
        <w:rPr>
          <w:rFonts w:ascii="Garamond" w:eastAsia="Garamond" w:hAnsi="Garamond" w:cs="Garamond"/>
        </w:rPr>
        <w:t xml:space="preserve">, </w:t>
      </w:r>
      <w:r w:rsidR="0002731E">
        <w:rPr>
          <w:rFonts w:ascii="Garamond" w:eastAsia="Garamond" w:hAnsi="Garamond" w:cs="Garamond"/>
        </w:rPr>
        <w:t>vem, respeitosamente por seus advogados, informar e requerer o que se segue.</w:t>
      </w:r>
    </w:p>
    <w:p w14:paraId="579DBFF9" w14:textId="77777777" w:rsidR="0002731E" w:rsidRDefault="0002731E" w:rsidP="00D74827">
      <w:pPr>
        <w:jc w:val="both"/>
        <w:rPr>
          <w:rFonts w:ascii="Garamond" w:eastAsia="Garamond" w:hAnsi="Garamond" w:cs="Garamond"/>
        </w:rPr>
      </w:pPr>
    </w:p>
    <w:p w14:paraId="30882CFD" w14:textId="06B39A8C" w:rsidR="0002731E" w:rsidRDefault="0002731E" w:rsidP="0002731E">
      <w:pPr>
        <w:spacing w:line="360" w:lineRule="auto"/>
        <w:jc w:val="both"/>
        <w:rPr>
          <w:rFonts w:ascii="Garamond" w:hAnsi="Garamond"/>
        </w:rPr>
      </w:pPr>
      <w:r>
        <w:rPr>
          <w:rFonts w:ascii="Garamond" w:eastAsia="Garamond" w:hAnsi="Garamond" w:cs="Garamond"/>
        </w:rPr>
        <w:tab/>
        <w:t xml:space="preserve">Inicialmente, quanto à Petição apresentada pelo Estado do Rio de Janeiro, o qual concordou com os cálculos da Autora, a Autora requer a homologação de seus cálculos que já possuem o desconto previdenciário com o posterior envio da RPV, </w:t>
      </w:r>
      <w:r w:rsidRPr="00D4134C">
        <w:rPr>
          <w:rFonts w:ascii="Garamond" w:hAnsi="Garamond"/>
        </w:rPr>
        <w:t>nos termos do artigo 100 da CF/88, para que o cumprimento integral do julgado se realize satisfazendo o crédito da requerente, sob pena de sequestro</w:t>
      </w:r>
      <w:r w:rsidRPr="005C2A73">
        <w:rPr>
          <w:rFonts w:ascii="Garamond" w:hAnsi="Garamond"/>
        </w:rPr>
        <w:t>.</w:t>
      </w:r>
    </w:p>
    <w:p w14:paraId="44F965FA" w14:textId="77777777" w:rsidR="0002731E" w:rsidRDefault="0002731E" w:rsidP="0002731E">
      <w:pPr>
        <w:spacing w:line="360" w:lineRule="auto"/>
        <w:jc w:val="both"/>
        <w:rPr>
          <w:rFonts w:ascii="Garamond" w:hAnsi="Garamond"/>
        </w:rPr>
      </w:pPr>
    </w:p>
    <w:p w14:paraId="3F319BB2" w14:textId="1E66920F" w:rsidR="0002731E" w:rsidRPr="0002731E" w:rsidRDefault="0002731E" w:rsidP="0002731E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ab/>
        <w:t>Ainda, q</w:t>
      </w:r>
      <w:r w:rsidRPr="0002731E">
        <w:rPr>
          <w:rFonts w:ascii="Garamond" w:hAnsi="Garamond"/>
        </w:rPr>
        <w:t xml:space="preserve">uanto às custas, imperioso ressaltar que parte possui isenção legal ao pagamento </w:t>
      </w:r>
      <w:proofErr w:type="gramStart"/>
      <w:r w:rsidRPr="0002731E">
        <w:rPr>
          <w:rFonts w:ascii="Garamond" w:hAnsi="Garamond"/>
        </w:rPr>
        <w:t>das mesmas</w:t>
      </w:r>
      <w:proofErr w:type="gramEnd"/>
      <w:r>
        <w:rPr>
          <w:rFonts w:ascii="Garamond" w:hAnsi="Garamond"/>
        </w:rPr>
        <w:t>, isenção já reconhecida pelo juízo</w:t>
      </w:r>
      <w:r w:rsidRPr="0002731E">
        <w:rPr>
          <w:rFonts w:ascii="Garamond" w:hAnsi="Garamond"/>
        </w:rPr>
        <w:t>, quanto à Taxa judiciária, determinada que fosse paga ao final da demanda, esta deve ser paga pela parte Vencida, qual seja: o Estado do Rio de Janeiro.</w:t>
      </w:r>
    </w:p>
    <w:p w14:paraId="6D2ECEE8" w14:textId="77777777" w:rsidR="0002731E" w:rsidRPr="0002731E" w:rsidRDefault="0002731E" w:rsidP="0002731E">
      <w:pPr>
        <w:jc w:val="both"/>
        <w:rPr>
          <w:rFonts w:ascii="Garamond" w:hAnsi="Garamond"/>
        </w:rPr>
      </w:pPr>
    </w:p>
    <w:p w14:paraId="1572504C" w14:textId="37C492EB" w:rsidR="0002731E" w:rsidRDefault="0002731E" w:rsidP="0002731E">
      <w:pPr>
        <w:spacing w:line="360" w:lineRule="auto"/>
        <w:ind w:firstLine="720"/>
        <w:jc w:val="both"/>
        <w:rPr>
          <w:rFonts w:ascii="Garamond" w:hAnsi="Garamond"/>
        </w:rPr>
      </w:pPr>
      <w:r w:rsidRPr="0002731E">
        <w:rPr>
          <w:rFonts w:ascii="Garamond" w:hAnsi="Garamond"/>
        </w:rPr>
        <w:t>O art. 82 em seu parágrafo segundo determina expressamente que a responsabilidade pelo pagamento de todo e qualquer gasto referente ao andamento processual deve ser suportada por aquele que deu causa à ação, no caso, a parte vencida, in verbis:</w:t>
      </w:r>
    </w:p>
    <w:p w14:paraId="2E9D791B" w14:textId="77777777" w:rsidR="0002731E" w:rsidRDefault="0002731E" w:rsidP="0002731E">
      <w:pPr>
        <w:jc w:val="both"/>
        <w:rPr>
          <w:rFonts w:ascii="Garamond" w:hAnsi="Garamond"/>
        </w:rPr>
      </w:pPr>
    </w:p>
    <w:p w14:paraId="6A69903C" w14:textId="77777777" w:rsidR="0002731E" w:rsidRPr="0002731E" w:rsidRDefault="0002731E" w:rsidP="0002731E">
      <w:pPr>
        <w:ind w:left="2268"/>
        <w:jc w:val="both"/>
        <w:rPr>
          <w:rFonts w:ascii="Garamond" w:hAnsi="Garamond"/>
          <w:sz w:val="22"/>
          <w:szCs w:val="22"/>
        </w:rPr>
      </w:pPr>
      <w:r w:rsidRPr="0002731E">
        <w:rPr>
          <w:rFonts w:ascii="Garamond" w:hAnsi="Garamond"/>
          <w:sz w:val="22"/>
          <w:szCs w:val="22"/>
        </w:rPr>
        <w:t>Art. 82. Salvo as disposições concernentes à gratuidade da justiça, incumbe às partes prover as despesas dos atos que realizarem ou requererem no processo, antecipando-lhes o pagamento, desde o início até a sentença final ou, na execução, até a plena satisfação do direito reconhecido no título.</w:t>
      </w:r>
    </w:p>
    <w:p w14:paraId="6ECF30ED" w14:textId="77777777" w:rsidR="0002731E" w:rsidRPr="0002731E" w:rsidRDefault="0002731E" w:rsidP="0002731E">
      <w:pPr>
        <w:ind w:left="2268"/>
        <w:jc w:val="both"/>
        <w:rPr>
          <w:rFonts w:ascii="Garamond" w:hAnsi="Garamond"/>
          <w:sz w:val="22"/>
          <w:szCs w:val="22"/>
        </w:rPr>
      </w:pPr>
    </w:p>
    <w:p w14:paraId="1D94D9DA" w14:textId="77777777" w:rsidR="0002731E" w:rsidRPr="0002731E" w:rsidRDefault="0002731E" w:rsidP="0002731E">
      <w:pPr>
        <w:ind w:left="2268"/>
        <w:jc w:val="both"/>
        <w:rPr>
          <w:rFonts w:ascii="Garamond" w:hAnsi="Garamond"/>
          <w:sz w:val="22"/>
          <w:szCs w:val="22"/>
        </w:rPr>
      </w:pPr>
      <w:r w:rsidRPr="0002731E">
        <w:rPr>
          <w:rFonts w:ascii="Garamond" w:hAnsi="Garamond"/>
          <w:sz w:val="22"/>
          <w:szCs w:val="22"/>
        </w:rPr>
        <w:t>§ 1º Incumbe ao autor adiantar as despesas relativas a ato cuja realização o juiz determinar de ofício ou a requerimento do Ministério Público, quando sua intervenção ocorrer como fiscal da ordem jurídica.</w:t>
      </w:r>
    </w:p>
    <w:p w14:paraId="72764D72" w14:textId="77777777" w:rsidR="0002731E" w:rsidRPr="0002731E" w:rsidRDefault="0002731E" w:rsidP="0002731E">
      <w:pPr>
        <w:ind w:left="2268"/>
        <w:jc w:val="both"/>
        <w:rPr>
          <w:rFonts w:ascii="Garamond" w:hAnsi="Garamond"/>
          <w:sz w:val="22"/>
          <w:szCs w:val="22"/>
        </w:rPr>
      </w:pPr>
    </w:p>
    <w:p w14:paraId="4A16AB25" w14:textId="3F85F2AB" w:rsidR="0002731E" w:rsidRPr="0002731E" w:rsidRDefault="0002731E" w:rsidP="0002731E">
      <w:pPr>
        <w:ind w:left="2268"/>
        <w:jc w:val="both"/>
        <w:rPr>
          <w:rFonts w:ascii="Garamond" w:hAnsi="Garamond"/>
          <w:sz w:val="22"/>
          <w:szCs w:val="22"/>
        </w:rPr>
      </w:pPr>
      <w:r w:rsidRPr="0002731E">
        <w:rPr>
          <w:rFonts w:ascii="Garamond" w:hAnsi="Garamond"/>
          <w:sz w:val="22"/>
          <w:szCs w:val="22"/>
        </w:rPr>
        <w:t>§ 2º A sentença condenará o vencido a pagar ao vencedor as despesas que antecipou.</w:t>
      </w:r>
    </w:p>
    <w:p w14:paraId="2B6D51B2" w14:textId="77777777" w:rsidR="0002731E" w:rsidRDefault="0002731E" w:rsidP="0002731E">
      <w:pPr>
        <w:spacing w:line="360" w:lineRule="auto"/>
        <w:jc w:val="both"/>
        <w:rPr>
          <w:rFonts w:ascii="Garamond" w:hAnsi="Garamond"/>
        </w:rPr>
      </w:pPr>
    </w:p>
    <w:p w14:paraId="55FDD554" w14:textId="77777777" w:rsidR="0002731E" w:rsidRPr="0002731E" w:rsidRDefault="0002731E" w:rsidP="0002731E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</w:r>
      <w:r w:rsidRPr="0002731E">
        <w:rPr>
          <w:rFonts w:ascii="Garamond" w:eastAsia="Garamond" w:hAnsi="Garamond" w:cs="Garamond"/>
        </w:rPr>
        <w:t>Conforme acima já mencionado, foi determinado o recolhimento da taxa judiciária ao final do processo, portanto, não há que se falar em cobrança da parte vencedora.</w:t>
      </w:r>
    </w:p>
    <w:p w14:paraId="05EDEBE2" w14:textId="77777777" w:rsidR="0002731E" w:rsidRP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137EF3F4" w14:textId="77777777" w:rsidR="0002731E" w:rsidRP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 xml:space="preserve">A ilustríssima Ministra Nancy Andrighi, do Superior Tribunal de Justiça já se manifestou sobre o tema, concluindo que sequer é necessário o pedido expresso requerendo qualquer restituição, ou seja, </w:t>
      </w:r>
      <w:r w:rsidRPr="0002731E">
        <w:rPr>
          <w:rFonts w:ascii="Garamond" w:eastAsia="Garamond" w:hAnsi="Garamond" w:cs="Garamond"/>
        </w:rPr>
        <w:lastRenderedPageBreak/>
        <w:t>as despesas a serem ressarcidas pela parte vencida serão calculadas junto das verbas sucumbenciais, se houverem.</w:t>
      </w:r>
    </w:p>
    <w:p w14:paraId="0861899F" w14:textId="77777777" w:rsidR="0002731E" w:rsidRP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20E95229" w14:textId="77777777" w:rsidR="0002731E" w:rsidRP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 xml:space="preserve">No entendimento da Ministra, ao efetuar o pagamento inicial de custas e/ou taxa judiciária, </w:t>
      </w:r>
      <w:proofErr w:type="spellStart"/>
      <w:r w:rsidRPr="0002731E">
        <w:rPr>
          <w:rFonts w:ascii="Garamond" w:eastAsia="Garamond" w:hAnsi="Garamond" w:cs="Garamond"/>
        </w:rPr>
        <w:t>esta</w:t>
      </w:r>
      <w:proofErr w:type="spellEnd"/>
      <w:r w:rsidRPr="0002731E">
        <w:rPr>
          <w:rFonts w:ascii="Garamond" w:eastAsia="Garamond" w:hAnsi="Garamond" w:cs="Garamond"/>
        </w:rPr>
        <w:t xml:space="preserve"> se trataria apenas de uma responsabilidade provisória do autor da demanda, porque o art. 82, §2º, do CPC, é expresso ao determinar que a sentença condenará o vencido a pagar ao vencedor as despesas que antecipou e somente ao fim do processo que a responsabilidade provisória pode se tornar definitiva ou não. </w:t>
      </w:r>
    </w:p>
    <w:p w14:paraId="3201A79E" w14:textId="77777777" w:rsidR="0002731E" w:rsidRP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140C51D1" w14:textId="04881F22" w:rsid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>Seguindo a linha de raciocínio, o vencido, além de suportar as despesas que possa ter adiantado ou que possam ser devidas ao final, também terá a obrigação de realizar reembolso do numerário antecipado pelo adversário-vencedor no curso do processo. Essa obrigação de ressarcimento dos valores dispendidos à título despesas segue a lógica de que o processo não pode resultar em prejuízo para o vencedor, conforme ementa abaixo transcrita:</w:t>
      </w:r>
    </w:p>
    <w:p w14:paraId="0C0788E1" w14:textId="77777777" w:rsidR="007F2B2A" w:rsidRDefault="007F2B2A" w:rsidP="0002731E">
      <w:pPr>
        <w:jc w:val="both"/>
        <w:rPr>
          <w:rFonts w:ascii="Garamond" w:eastAsia="Garamond" w:hAnsi="Garamond" w:cs="Garamond"/>
        </w:rPr>
      </w:pPr>
    </w:p>
    <w:p w14:paraId="566830E1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PROCESSUAL CIVIL. RECURSO ESPECIAL. AÇÃO DE </w:t>
      </w:r>
      <w:r w:rsidRPr="0002731E"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EXECUÇÃO</w:t>
      </w: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. REMUNERAÇÃO. DEPOSITÁRIO. </w:t>
      </w:r>
      <w:r w:rsidRPr="0002731E"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RESSARCIMENTO</w:t>
      </w: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. GUARDA E CONSERVAÇÃO DOS BENS. SITUAÇÃO DOS BENS. TABELA DE CUSTAS. </w:t>
      </w:r>
      <w:r w:rsidRPr="0002731E"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PAGAMENTO AO FINAL. OBRIGAÇÃO PROVISÓRIA</w:t>
      </w: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.</w:t>
      </w:r>
    </w:p>
    <w:p w14:paraId="76281A13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1. Ação de execução da qual foi extraído o presente recurso especial interposto em 25/11/2021 e concluso ao gabinete em 14/09/2022.</w:t>
      </w:r>
    </w:p>
    <w:p w14:paraId="7B7D5225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2. O propósito recursal consiste em definir (I) se a remuneração do depositário privado pode ser arbitrada pelo juiz ou se deve seguir a Tabela de Custas da Corte Estadual e (II) se as despesas com depositário podem ser pagas somente ao final do processo pelo executado.</w:t>
      </w:r>
    </w:p>
    <w:p w14:paraId="11C55067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3. O particular que aceita exercer o múnus público de depositário judicial tem direito à remuneração como contrapartida pela prestação de seus serviços e ao ressarcimento das despesas que precisou efetuar para a guarda e conservação dos bens, tal como o depositário público.</w:t>
      </w:r>
    </w:p>
    <w:p w14:paraId="59AA35BD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4. O Código de Processo Civil determina, em seu art. 160, que, por seu trabalho, o depositário ou o administrador perceberá remuneração que o juiz fixará levando em conta a situação dos bens, ao tempo do serviço e às dificuldades de sua execução.</w:t>
      </w:r>
    </w:p>
    <w:p w14:paraId="71DC87F2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5. Inexiste, portanto, obrigação legal de que a remuneração do depositário seja determinada com base na Tabela de Custas da Corte Estadual.</w:t>
      </w:r>
    </w:p>
    <w:p w14:paraId="34584B85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6. Incumbe às partes prover as despesas dos atos que realizarem ou requererem no processo, antecipando-lhes o pagamento, desde o início até a sentença final ou, na execução, até a plena satisfação do direito reconhecido no título.</w:t>
      </w:r>
    </w:p>
    <w:p w14:paraId="3A5609DB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 xml:space="preserve">7. </w:t>
      </w:r>
      <w:r w:rsidRPr="0002731E"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Há uma responsabilidade provisória pelo pagamento das despesas processuais, porquanto o art. 82, §2º, do CPC, é expresso ao determinar que a sentença condenará o vencido a pagar ao vencedor as despesas que antecipou</w:t>
      </w: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.</w:t>
      </w:r>
    </w:p>
    <w:p w14:paraId="11C4D68D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8. Recurso especial não provido.</w:t>
      </w:r>
    </w:p>
    <w:p w14:paraId="47679758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(REsp n. 2.026.289/PR, relatora Ministra Nancy Andrighi, Terceira Turma, julgado em 6/12/2022, DJe de 9/12/2022.) (</w:t>
      </w:r>
      <w:r w:rsidRPr="0002731E">
        <w:rPr>
          <w:rFonts w:ascii="Garamond" w:eastAsia="Calibri" w:hAnsi="Garamond" w:cs="Times New Roman"/>
          <w:b/>
          <w:bCs/>
          <w:kern w:val="2"/>
          <w:sz w:val="22"/>
          <w:szCs w:val="22"/>
          <w:lang w:eastAsia="en-US"/>
          <w14:ligatures w14:val="standardContextual"/>
        </w:rPr>
        <w:t>grifos nossos</w:t>
      </w:r>
      <w:r w:rsidRPr="0002731E">
        <w:rPr>
          <w:rFonts w:ascii="Garamond" w:eastAsia="Calibri" w:hAnsi="Garamond" w:cs="Times New Roman"/>
          <w:kern w:val="2"/>
          <w:sz w:val="22"/>
          <w:szCs w:val="22"/>
          <w:lang w:eastAsia="en-US"/>
          <w14:ligatures w14:val="standardContextual"/>
        </w:rPr>
        <w:t>)</w:t>
      </w:r>
    </w:p>
    <w:p w14:paraId="1A4D753F" w14:textId="77777777" w:rsid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234B6A13" w14:textId="77777777" w:rsidR="0002731E" w:rsidRP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lastRenderedPageBreak/>
        <w:t>O Tribunal de Justiça do Estado do Rio de Janeiro segue o mesmíssimo entendimento, em respeito às normas processuais civis. O princípio da causalidade é utilizado em diversos julgados como base argumentativa quando o assunto trata de responsabilidade pelo pagamento de custas judiciais.</w:t>
      </w:r>
    </w:p>
    <w:p w14:paraId="1F3114F9" w14:textId="77777777" w:rsidR="0002731E" w:rsidRP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38FE6588" w14:textId="77777777" w:rsidR="0002731E" w:rsidRP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 xml:space="preserve">O Princípio da Causalidade prescreve que aquele que dá causa a instauração da demanda deve arcar com os ônus </w:t>
      </w:r>
      <w:proofErr w:type="spellStart"/>
      <w:r w:rsidRPr="0002731E">
        <w:rPr>
          <w:rFonts w:ascii="Garamond" w:eastAsia="Garamond" w:hAnsi="Garamond" w:cs="Garamond"/>
        </w:rPr>
        <w:t>da</w:t>
      </w:r>
      <w:proofErr w:type="spellEnd"/>
      <w:r w:rsidRPr="0002731E">
        <w:rPr>
          <w:rFonts w:ascii="Garamond" w:eastAsia="Garamond" w:hAnsi="Garamond" w:cs="Garamond"/>
        </w:rPr>
        <w:t xml:space="preserve"> sucumbência, no caso em comento a parte que não cumpriu com o dever de pagar foi o Estado do Rio de Janeiro. O único motivo que levou a Autora a apresentar a presente demanda foi o não pagamento correto de seu provento pelo Estado Executado.</w:t>
      </w:r>
    </w:p>
    <w:p w14:paraId="1289DA6A" w14:textId="77777777" w:rsidR="0002731E" w:rsidRPr="0002731E" w:rsidRDefault="0002731E" w:rsidP="0002731E">
      <w:pPr>
        <w:jc w:val="both"/>
        <w:rPr>
          <w:rFonts w:ascii="Garamond" w:eastAsia="Garamond" w:hAnsi="Garamond" w:cs="Garamond"/>
          <w:sz w:val="18"/>
          <w:szCs w:val="18"/>
        </w:rPr>
      </w:pPr>
    </w:p>
    <w:p w14:paraId="4D8CDD56" w14:textId="77777777" w:rsidR="0002731E" w:rsidRP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 xml:space="preserve">Ora, cumpre reiterar que o vencido deu causa à instauração do processo, uma vez que, se tivesse reconhecido o direito daquele que terminaria por vencer, não teria havido necessidade de se ir a juízo, conforme entendimento do Ilmo. Desembargador Alexandre Freitas Câmara (Lições de Direito Processual Civil, Volume I, 17ª edição, </w:t>
      </w:r>
      <w:proofErr w:type="spellStart"/>
      <w:r w:rsidRPr="0002731E">
        <w:rPr>
          <w:rFonts w:ascii="Garamond" w:eastAsia="Garamond" w:hAnsi="Garamond" w:cs="Garamond"/>
          <w:i/>
          <w:iCs/>
        </w:rPr>
        <w:t>Lumen</w:t>
      </w:r>
      <w:proofErr w:type="spellEnd"/>
      <w:r w:rsidRPr="0002731E">
        <w:rPr>
          <w:rFonts w:ascii="Garamond" w:eastAsia="Garamond" w:hAnsi="Garamond" w:cs="Garamond"/>
        </w:rPr>
        <w:t xml:space="preserve"> </w:t>
      </w:r>
      <w:r w:rsidRPr="0002731E">
        <w:rPr>
          <w:rFonts w:ascii="Garamond" w:eastAsia="Garamond" w:hAnsi="Garamond" w:cs="Garamond"/>
          <w:i/>
          <w:iCs/>
        </w:rPr>
        <w:t>Juris</w:t>
      </w:r>
      <w:r w:rsidRPr="0002731E">
        <w:rPr>
          <w:rFonts w:ascii="Garamond" w:eastAsia="Garamond" w:hAnsi="Garamond" w:cs="Garamond"/>
        </w:rPr>
        <w:t>, pág.147). Caso se entendesse de modo diverso o direito não seria recomposto inteiramente como deve ser.</w:t>
      </w:r>
    </w:p>
    <w:p w14:paraId="30141B5D" w14:textId="77777777" w:rsidR="0002731E" w:rsidRPr="0002731E" w:rsidRDefault="0002731E" w:rsidP="0002731E">
      <w:pPr>
        <w:jc w:val="both"/>
        <w:rPr>
          <w:rFonts w:ascii="Garamond" w:eastAsia="Garamond" w:hAnsi="Garamond" w:cs="Garamond"/>
          <w:sz w:val="18"/>
          <w:szCs w:val="18"/>
        </w:rPr>
      </w:pPr>
    </w:p>
    <w:p w14:paraId="5DEBE43B" w14:textId="0E6A8093" w:rsidR="0002731E" w:rsidRDefault="0002731E" w:rsidP="0002731E">
      <w:pPr>
        <w:spacing w:line="360" w:lineRule="auto"/>
        <w:ind w:firstLine="720"/>
        <w:jc w:val="both"/>
        <w:rPr>
          <w:rFonts w:ascii="Garamond" w:eastAsia="Garamond" w:hAnsi="Garamond" w:cs="Garamond"/>
        </w:rPr>
      </w:pPr>
      <w:r w:rsidRPr="0002731E">
        <w:rPr>
          <w:rFonts w:ascii="Garamond" w:eastAsia="Garamond" w:hAnsi="Garamond" w:cs="Garamond"/>
        </w:rPr>
        <w:t>Transcreve-se abaixo julgados do Ilmo. TJRJ:</w:t>
      </w:r>
    </w:p>
    <w:p w14:paraId="0CB27313" w14:textId="77777777" w:rsidR="0002731E" w:rsidRDefault="0002731E" w:rsidP="0002731E">
      <w:pPr>
        <w:jc w:val="both"/>
        <w:rPr>
          <w:rFonts w:ascii="Garamond" w:eastAsia="Garamond" w:hAnsi="Garamond" w:cs="Garamond"/>
        </w:rPr>
      </w:pPr>
    </w:p>
    <w:p w14:paraId="43D4377E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APELAÇÃO CÍVEL. PROCESSO EM FASE DE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CUMPRIMENTO DE SENTENÇA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IMPUGNAÇÃO DA PARTE SUCUMBENTE NA DEMANDA ORIGINÁRIA CONDENADA A PAGAR AS DESPESAS PROCESSUAIS. ASSISTENTE TÉCNICO. SENTENÇA QUE JULGOU EXTINTA A EXECUÇÃO, AFASTANDO A REMUNERAÇÃO DO ASSISTENTE TÉCNICO DA PARTE AUTORA, BENEFICIÁRIA DE GRATUIDADE DE JUSTIÇA. RECURSO PROVIDO. </w:t>
      </w:r>
    </w:p>
    <w:p w14:paraId="3F61BF74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Cuida-se de demanda em fase de cumprimento do julgado, na qual foi proferida sentença julgando extinta a execução, na forma do art. 924, II do CPC, ao fundamento de que a remuneração do assistente técnico da ré não deve ser incluída nos cálculos da execução, tendo em vista que não se mostra razoável encontrar-se o autor sob o pálio da gratuidade de justiça e custear profissional privado em detrimento do pagamento dos honorários do perito judicial, bem como em razão dos valores cobrados apareceram somente após a prolação de sentença, não sendo dada oportunidade a parte contrária para impugná-los. </w:t>
      </w:r>
    </w:p>
    <w:p w14:paraId="23FAA773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2.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Insurge-se o Autor, ao argumento de que a sucumbência compreende o pagamento dos honorários devidos ao Assistente Técnico, e sendo a parte autora beneficiária da gratuidade de justiça, cabe à parte sucumbente, por ocasião do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cumprimento de sentença, arcar com o pagamento de todas as despesas processuais a que foi condenada, mesmo que não adiantadas por aquela, por força de lei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</w:t>
      </w:r>
    </w:p>
    <w:p w14:paraId="61F6A63D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3.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A parte ré, por sua vez, defende a existência de excesso de execução, afirmando que a parte autora não comprovou efetivamente nos autos os gastos com assistente técnico.</w:t>
      </w:r>
    </w:p>
    <w:p w14:paraId="4E546C98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4.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 É certo que, no sistema processual vigente vigora o princípio da sucumbência para a definição dos honorários advocatícios e ressarcimento das despesas judiciais pelo vencido, devendo a parte que sucumbiu à demanda arcar com ônus do processo. </w:t>
      </w:r>
    </w:p>
    <w:p w14:paraId="17D6D56B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lastRenderedPageBreak/>
        <w:t>5.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Dispõe o art. 82, do CPC, que salvo as disposições concernentes à gratuidade da justiça, incumbe às partes prover as despesas dos atos que realizarem ou requererem no processo, antecipando-lhes o pagamento, desde o início até a sentença final ou, na execução, até a plena satisfação do direito reconhecido no título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.</w:t>
      </w:r>
    </w:p>
    <w:p w14:paraId="27C62750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6.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Por sua vez, prescreve o art. 84, do mesmo diploma legal, que as despesas abrangem às custas dos atos do processo, a indenização de viagem, a remuneração do assistente técnico e a diária de testemunha.</w:t>
      </w:r>
    </w:p>
    <w:p w14:paraId="77DEFFCD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7.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Desse modo, as despesas processuais abrangem todos os gastos efetivados pela parte vencedora com custas, taxas, remuneração de perito e de assistente técnico, diária de testemunha que possuam correlação com o processo. </w:t>
      </w:r>
    </w:p>
    <w:p w14:paraId="41085036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8.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Com arrimo no art. 95, do Código de Processo Civil, ¿cada parte adiantará a remuneração do assistente técnico que houver indicado, sendo a do perito adiantada pela parte que houver requerido a perícia ou rateada quando a perícia for determinada de ofício ou requerida por ambas as partes¿. </w:t>
      </w:r>
    </w:p>
    <w:p w14:paraId="76FA0174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9.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Assim sendo, cada parte será responsável pelo pagamento do adiantamento da remuneração do seu assistente técnico.</w:t>
      </w:r>
    </w:p>
    <w:p w14:paraId="7016B72C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10.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A remuneração do assistente técnico está inserida no conceito despesa processual, competindo, assim, a parte sucumbente reembolsar a parte vencedora nos valores despendidos para a contratação do referido profissional. </w:t>
      </w:r>
    </w:p>
    <w:p w14:paraId="327E12E3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11.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Conforme assentado pelo Superior Tribunal de Justiça, ¿em cumprimento de sentença, é admitida a inclusão de honorários do assistente técnico e do perito na conta de liquidação quando o dispositivo da sentença transitado em julgado condena o vencido, genericamente, ao pagamento de custas processuais¿. (</w:t>
      </w:r>
      <w:proofErr w:type="spellStart"/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AgInt</w:t>
      </w:r>
      <w:proofErr w:type="spellEnd"/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 no REsp 1.750.562/RJ, Rel. Ministro Marco Aurélio </w:t>
      </w:r>
      <w:proofErr w:type="spellStart"/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Bellizze</w:t>
      </w:r>
      <w:proofErr w:type="spellEnd"/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, Terceira Turma, julgado em 18.03.2019, DJe 22.03.2019). (</w:t>
      </w:r>
      <w:proofErr w:type="spellStart"/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AgInt</w:t>
      </w:r>
      <w:proofErr w:type="spellEnd"/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 no REsp n. 1.568.825/SC, relator Ministro </w:t>
      </w:r>
      <w:proofErr w:type="spellStart"/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Luis</w:t>
      </w:r>
      <w:proofErr w:type="spellEnd"/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 Felipe Salomão, Quarta Turma, julgado em 18/2/2020, DJe de 3/3/2020.)</w:t>
      </w:r>
    </w:p>
    <w:p w14:paraId="29A76AB4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12.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Na hipótese, a parte autora se manifestou sobre o laudo pericial, apresentando parecer crítico de seu assistente técnico, o qual efetivamente funcionou no feito, assim como adunou aos autos declaração apresentada pelo profissional com o valor dos serviços prestados e com ressalva de que os honorários só seriam suportados por ocasião da execução do julgado, não tendo a respectiva importância sido impugnada pela parte adversa na ocasião. </w:t>
      </w:r>
    </w:p>
    <w:p w14:paraId="16B545DF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13.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Logo, a remuneração do assistente técnico deve ser custeada pelo vencido, apesar de não ter sido adiantada pela demandante, ante a gratuidade a ela concedida, devendo o sucumbente arcar com tal despesa, em razão do princípio da causalidade, bem como em observância ao princípio da paridade de armas e da isonomia material, notadamente diante da hipossuficiência muitas vezes revelada em tais demandas. </w:t>
      </w:r>
    </w:p>
    <w:p w14:paraId="4346449E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14.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 xml:space="preserve">Não se perde de vista que, nos casos de gratuidade de justiça, é corriqueiro que a parte sucumbente suporte o pagamento dos honorários de perito ao final do processo, inexistindo qualquer justificativa plausível para que tal providencia não seja aplicada para a remuneração dos assistentes técnicos. </w:t>
      </w:r>
    </w:p>
    <w:p w14:paraId="79C33B9C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15.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ab/>
        <w:t>Recurso provido.</w:t>
      </w:r>
    </w:p>
    <w:p w14:paraId="51D2C42F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(1660701-58.2011.8.19.0004 - APELAÇÃO. Des(a). MÔNICA MARIA COSTA DI PIERO - Julgamento: 19/07/2022 - OITAVA CÂMARA CÍVEL) (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grifos nossos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)</w:t>
      </w:r>
    </w:p>
    <w:p w14:paraId="1DBD2A4D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</w:p>
    <w:p w14:paraId="7D0C7CAC" w14:textId="77777777" w:rsidR="0002731E" w:rsidRPr="0002731E" w:rsidRDefault="0002731E" w:rsidP="0002731E">
      <w:pPr>
        <w:ind w:left="2268"/>
        <w:jc w:val="center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*     *     *     *     *     *     *     *     *     *</w:t>
      </w:r>
    </w:p>
    <w:p w14:paraId="6317D53C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</w:p>
    <w:p w14:paraId="245C374A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Indenizatória. Cumprimento de sentença. Custas processuais. Princípios da sucumbência e da causalidade. Agravantes que restaram vencidos na demanda. </w:t>
      </w:r>
    </w:p>
    <w:p w14:paraId="00C1D938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Nos termos do artigo 85, caput, do Código de Processo Civil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 xml:space="preserve">a sentença condenará o vencido, ou seja,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u w:val="single"/>
          <w:lang w:eastAsia="en-US"/>
          <w14:ligatures w14:val="standardContextual"/>
        </w:rPr>
        <w:t>aquele que perdeu a demanda, a pagar as despesas processuais e os honorários advocatícios ao patrono do vencedor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Deduz-se daí que o legislador consagrou o princípio da sucumbência, segundo o qual o direito deve ser recomposto inteiramente, de modo que o vencedor não sofra nenhum prejuízo. Nas hipóteses em que 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lastRenderedPageBreak/>
        <w:t xml:space="preserve">tal critério não seja suficiente,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deve-se levar em consideração para fixar tal condenação o princípio da causalidade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,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segundo o qual incumbe àquele que deu causa à propositura da demanda a responsabilidade pelo pagamento das despesas dela decorrente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No caso em análise os agravantes restaram vencidos na ação indenizatória ajuizada pelo agravado, conforme sentença de fls. 347/353 (autos principais), que condenou os recorrentes ao pagamento de indenização por danos materiais e morais em favor do recorrido. Dita sentença, diga-se de passagem, foi reformada no segundo grau de jurisdição, conforme acórdão desta Câmara Cível, para majorar o valor arbitrado a título de danos morais, mantendo-se os demais termos. Assim, ao contrário do afirmado nas razões do recurso, os agravantes devem arcar com o pagamento dos ônus sucumbenciais em razão dos princípios da sucumbência e da causalidade acima mencionados. De fato, os recorrentes restaram vencidos na demanda e deram causa à sua propositura, visto que não cumpriram o prazo estipulado contratualmente para a entrega do imóvel adquirido pelo recorrido.  </w:t>
      </w:r>
    </w:p>
    <w:p w14:paraId="27B6E9D3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Ressalte-se, ainda, que o agravado não recolheu as custas quando do ajuizamento da demanda, tendo sido deferido pelo magistrado o pagamento ao final, conforme decisão de fls. 84.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Ocorre que se o agravado tivesse de fato efetuado o pagamento antes da sentença, incumbiria aos recorrentes ressarci-lo pelo pagamento, nos termos do artigo 82, § 2º, do Código de Processo Civil, segundo a sentença condenará o vencido a pagar ao vencedor as despesas que antecipou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 xml:space="preserve">. Assim, não assiste razão aos agravantes, pois, 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caso se exigisse o pagamento das custas pelo agravado, essas deveriam ser ressarcidas ao final pelos agravantes em razão do princípio da sucumbência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. Desta forma, correta a decisão interlocutória, visto que prolatada em consonância com o princípio da sucumbência insculpido no artigo 85 do Código de Processo Civil. Recurso ao qual se nega provimento.</w:t>
      </w:r>
    </w:p>
    <w:p w14:paraId="2F350B23" w14:textId="77777777" w:rsidR="0002731E" w:rsidRPr="0002731E" w:rsidRDefault="0002731E" w:rsidP="0002731E">
      <w:pPr>
        <w:ind w:left="2268"/>
        <w:jc w:val="both"/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</w:pP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(0071674-38.2020.8.19.0000 - AGRAVO DE INSTRUMENTO. Des(a). MARIO ASSIS GONÇALVES - Julgamento: 01/03/2021 - TERCEIRA CÂMARA CÍVEL) (</w:t>
      </w:r>
      <w:r w:rsidRPr="0002731E">
        <w:rPr>
          <w:rFonts w:ascii="Garamond" w:eastAsia="Calibri" w:hAnsi="Garamond" w:cs="Times New Roman"/>
          <w:b/>
          <w:bCs/>
          <w:kern w:val="2"/>
          <w:sz w:val="21"/>
          <w:szCs w:val="21"/>
          <w:lang w:eastAsia="en-US"/>
          <w14:ligatures w14:val="standardContextual"/>
        </w:rPr>
        <w:t>grifos nossos</w:t>
      </w:r>
      <w:r w:rsidRPr="0002731E">
        <w:rPr>
          <w:rFonts w:ascii="Garamond" w:eastAsia="Calibri" w:hAnsi="Garamond" w:cs="Times New Roman"/>
          <w:kern w:val="2"/>
          <w:sz w:val="21"/>
          <w:szCs w:val="21"/>
          <w:lang w:eastAsia="en-US"/>
          <w14:ligatures w14:val="standardContextual"/>
        </w:rPr>
        <w:t>)</w:t>
      </w:r>
    </w:p>
    <w:p w14:paraId="1349BB99" w14:textId="77777777" w:rsidR="0002731E" w:rsidRDefault="0002731E" w:rsidP="0002731E">
      <w:pPr>
        <w:spacing w:line="360" w:lineRule="auto"/>
        <w:jc w:val="both"/>
        <w:rPr>
          <w:rFonts w:ascii="Garamond" w:eastAsia="Garamond" w:hAnsi="Garamond" w:cs="Garamond"/>
        </w:rPr>
      </w:pPr>
    </w:p>
    <w:p w14:paraId="2658FE4B" w14:textId="3B3D8D7B" w:rsidR="0002731E" w:rsidRDefault="0002731E" w:rsidP="0002731E">
      <w:pPr>
        <w:spacing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Diante do exposto, requer seja o valor</w:t>
      </w:r>
      <w:r w:rsidR="00D74827">
        <w:rPr>
          <w:rFonts w:ascii="Garamond" w:eastAsia="Garamond" w:hAnsi="Garamond" w:cs="Garamond"/>
        </w:rPr>
        <w:t xml:space="preserve"> de </w:t>
      </w:r>
      <w:r w:rsidR="0012725A" w:rsidRPr="0012725A">
        <w:rPr>
          <w:rFonts w:ascii="Garamond" w:eastAsia="Garamond" w:hAnsi="Garamond" w:cs="Garamond"/>
          <w:b/>
          <w:bCs/>
        </w:rPr>
        <w:t>VALORBRUTO</w:t>
      </w:r>
      <w:r>
        <w:rPr>
          <w:rFonts w:ascii="Garamond" w:eastAsia="Garamond" w:hAnsi="Garamond" w:cs="Garamond"/>
        </w:rPr>
        <w:t xml:space="preserve"> homologado</w:t>
      </w:r>
      <w:r w:rsidR="0012725A">
        <w:rPr>
          <w:rFonts w:ascii="Garamond" w:eastAsia="Garamond" w:hAnsi="Garamond" w:cs="Garamond"/>
        </w:rPr>
        <w:t xml:space="preserve"> </w:t>
      </w:r>
      <w:r w:rsidR="0012725A" w:rsidRPr="0012725A">
        <w:rPr>
          <w:rFonts w:ascii="Garamond" w:eastAsia="Garamond" w:hAnsi="Garamond" w:cs="Garamond"/>
        </w:rPr>
        <w:t>(sendo o valor da contribuição de VALORRIOPREV e o valor com o desconto o de VALORFINAL)</w:t>
      </w:r>
      <w:r>
        <w:rPr>
          <w:rFonts w:ascii="Garamond" w:eastAsia="Garamond" w:hAnsi="Garamond" w:cs="Garamond"/>
        </w:rPr>
        <w:t>,</w:t>
      </w:r>
      <w:r w:rsidR="00485107">
        <w:rPr>
          <w:rFonts w:ascii="Garamond" w:eastAsia="Garamond" w:hAnsi="Garamond" w:cs="Garamond"/>
        </w:rPr>
        <w:t xml:space="preserve"> </w:t>
      </w:r>
      <w:r w:rsidR="00485107" w:rsidRPr="000D639B">
        <w:rPr>
          <w:rFonts w:ascii="Garamond" w:eastAsia="Garamond" w:hAnsi="Garamond" w:cs="Garamond"/>
          <w:b/>
          <w:bCs/>
          <w:u w:val="single"/>
        </w:rPr>
        <w:t>renunciando o valor que ultrapassar 40 salários mínimos para po</w:t>
      </w:r>
      <w:r w:rsidR="000D639B">
        <w:rPr>
          <w:rFonts w:ascii="Garamond" w:eastAsia="Garamond" w:hAnsi="Garamond" w:cs="Garamond"/>
          <w:b/>
          <w:bCs/>
          <w:u w:val="single"/>
        </w:rPr>
        <w:t xml:space="preserve">ssibilitar o recebimento </w:t>
      </w:r>
      <w:r w:rsidR="00485107" w:rsidRPr="000D639B">
        <w:rPr>
          <w:rFonts w:ascii="Garamond" w:eastAsia="Garamond" w:hAnsi="Garamond" w:cs="Garamond"/>
          <w:b/>
          <w:bCs/>
          <w:u w:val="single"/>
        </w:rPr>
        <w:t>via RPV</w:t>
      </w:r>
      <w:r w:rsidR="000D639B">
        <w:rPr>
          <w:rFonts w:ascii="Garamond" w:eastAsia="Garamond" w:hAnsi="Garamond" w:cs="Garamond"/>
          <w:b/>
          <w:bCs/>
          <w:u w:val="single"/>
        </w:rPr>
        <w:t xml:space="preserve"> – conforme poderes concedidos na Procuração</w:t>
      </w:r>
      <w:r w:rsidR="00485107" w:rsidRPr="000D639B">
        <w:rPr>
          <w:rFonts w:ascii="Garamond" w:eastAsia="Garamond" w:hAnsi="Garamond" w:cs="Garamond"/>
        </w:rPr>
        <w:t>,</w:t>
      </w:r>
      <w:r>
        <w:rPr>
          <w:rFonts w:ascii="Garamond" w:eastAsia="Garamond" w:hAnsi="Garamond" w:cs="Garamond"/>
        </w:rPr>
        <w:t xml:space="preserve"> com o posterior envio da RPV e o reconhecimento de que a Taxa Judiciária é devida pela parte Ré, ora Executada, quem deu causa à Ação e ao cumprimento de sentença, conforme entendimento legal e jurisprudencial</w:t>
      </w:r>
      <w:r w:rsidR="0012725A">
        <w:rPr>
          <w:rFonts w:ascii="Garamond" w:eastAsia="Garamond" w:hAnsi="Garamond" w:cs="Garamond"/>
        </w:rPr>
        <w:t>, bem como com a condenação do Estado em honorários sucumbenciais no patamar de 10%</w:t>
      </w:r>
      <w:r>
        <w:rPr>
          <w:rFonts w:ascii="Garamond" w:eastAsia="Garamond" w:hAnsi="Garamond" w:cs="Garamond"/>
        </w:rPr>
        <w:t>.</w:t>
      </w:r>
    </w:p>
    <w:p w14:paraId="52FF9BF2" w14:textId="77777777" w:rsidR="0002731E" w:rsidRPr="000D639B" w:rsidRDefault="0002731E" w:rsidP="0002731E">
      <w:pPr>
        <w:spacing w:line="360" w:lineRule="auto"/>
        <w:jc w:val="both"/>
        <w:rPr>
          <w:rFonts w:ascii="Garamond" w:eastAsia="Garamond" w:hAnsi="Garamond" w:cs="Garamond"/>
          <w:sz w:val="14"/>
          <w:szCs w:val="14"/>
        </w:rPr>
      </w:pPr>
    </w:p>
    <w:p w14:paraId="181AD7A3" w14:textId="77777777" w:rsidR="007F2B2A" w:rsidRDefault="00E9465B">
      <w:pPr>
        <w:spacing w:line="360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Nestes termos, pede deferimento.</w:t>
      </w:r>
    </w:p>
    <w:p w14:paraId="2417659C" w14:textId="2817B83E" w:rsidR="007F2B2A" w:rsidRDefault="00E9465B">
      <w:pPr>
        <w:spacing w:line="360" w:lineRule="auto"/>
        <w:jc w:val="center"/>
        <w:rPr>
          <w:rFonts w:ascii="Garamond" w:eastAsia="Garamond" w:hAnsi="Garamond" w:cs="Garamond"/>
        </w:rPr>
      </w:pPr>
      <w:bookmarkStart w:id="0" w:name="_heading=h.gjdgxs" w:colFirst="0" w:colLast="0"/>
      <w:bookmarkEnd w:id="0"/>
      <w:r>
        <w:rPr>
          <w:rFonts w:ascii="Garamond" w:eastAsia="Garamond" w:hAnsi="Garamond" w:cs="Garamond"/>
        </w:rPr>
        <w:t xml:space="preserve">Niterói, </w:t>
      </w:r>
      <w:r w:rsidR="00F67C47">
        <w:rPr>
          <w:rFonts w:ascii="Garamond" w:eastAsia="Garamond" w:hAnsi="Garamond" w:cs="Garamond"/>
        </w:rPr>
        <w:fldChar w:fldCharType="begin"/>
      </w:r>
      <w:r w:rsidR="00F67C47">
        <w:rPr>
          <w:rFonts w:ascii="Garamond" w:eastAsia="Garamond" w:hAnsi="Garamond" w:cs="Garamond"/>
        </w:rPr>
        <w:instrText xml:space="preserve"> TIME \@ "d' de 'MMMM' de 'yyyy" </w:instrText>
      </w:r>
      <w:r w:rsidR="00F67C47">
        <w:rPr>
          <w:rFonts w:ascii="Garamond" w:eastAsia="Garamond" w:hAnsi="Garamond" w:cs="Garamond"/>
        </w:rPr>
        <w:fldChar w:fldCharType="separate"/>
      </w:r>
      <w:r>
        <w:rPr>
          <w:rFonts w:ascii="Garamond" w:eastAsia="Garamond" w:hAnsi="Garamond" w:cs="Garamond"/>
          <w:noProof/>
        </w:rPr>
        <w:t>16 de outubro de 2024</w:t>
      </w:r>
      <w:r w:rsidR="00F67C47">
        <w:rPr>
          <w:rFonts w:ascii="Garamond" w:eastAsia="Garamond" w:hAnsi="Garamond" w:cs="Garamond"/>
        </w:rPr>
        <w:fldChar w:fldCharType="end"/>
      </w:r>
      <w:r>
        <w:rPr>
          <w:rFonts w:ascii="Garamond" w:eastAsia="Garamond" w:hAnsi="Garamond" w:cs="Garamond"/>
        </w:rPr>
        <w:t>.</w:t>
      </w:r>
    </w:p>
    <w:p w14:paraId="30A1CFA4" w14:textId="77777777" w:rsidR="007F2B2A" w:rsidRPr="000D639B" w:rsidRDefault="007F2B2A">
      <w:pPr>
        <w:spacing w:line="360" w:lineRule="auto"/>
        <w:jc w:val="center"/>
        <w:rPr>
          <w:rFonts w:ascii="Garamond" w:eastAsia="Garamond" w:hAnsi="Garamond" w:cs="Garamond"/>
          <w:sz w:val="20"/>
          <w:szCs w:val="20"/>
        </w:rPr>
      </w:pPr>
    </w:p>
    <w:p w14:paraId="4AA7825F" w14:textId="77777777" w:rsidR="007F2B2A" w:rsidRDefault="007F2B2A">
      <w:pPr>
        <w:spacing w:line="360" w:lineRule="auto"/>
        <w:jc w:val="center"/>
        <w:rPr>
          <w:rFonts w:ascii="Garamond" w:eastAsia="Garamond" w:hAnsi="Garamond" w:cs="Garamond"/>
        </w:rPr>
      </w:pPr>
    </w:p>
    <w:tbl>
      <w:tblPr>
        <w:tblStyle w:val="a2"/>
        <w:tblW w:w="9487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43"/>
        <w:gridCol w:w="4744"/>
      </w:tblGrid>
      <w:tr w:rsidR="007F2B2A" w14:paraId="5FE53E94" w14:textId="77777777">
        <w:trPr>
          <w:jc w:val="center"/>
        </w:trPr>
        <w:tc>
          <w:tcPr>
            <w:tcW w:w="4743" w:type="dxa"/>
          </w:tcPr>
          <w:p w14:paraId="17414E68" w14:textId="77777777" w:rsidR="007F2B2A" w:rsidRDefault="00E9465B">
            <w:pPr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LIZ WERNER</w:t>
            </w:r>
          </w:p>
          <w:p w14:paraId="3F69A1BB" w14:textId="77777777" w:rsidR="007F2B2A" w:rsidRDefault="00E9465B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OAB/RJ 184.888</w:t>
            </w:r>
          </w:p>
        </w:tc>
        <w:tc>
          <w:tcPr>
            <w:tcW w:w="4744" w:type="dxa"/>
          </w:tcPr>
          <w:p w14:paraId="526E5461" w14:textId="77777777" w:rsidR="007F2B2A" w:rsidRDefault="00E9465B">
            <w:pPr>
              <w:jc w:val="center"/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Thiago José Aguiar</w:t>
            </w:r>
          </w:p>
          <w:p w14:paraId="6DA7F815" w14:textId="77777777" w:rsidR="007F2B2A" w:rsidRDefault="00E9465B">
            <w:pPr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  <w:sz w:val="24"/>
                <w:szCs w:val="24"/>
              </w:rPr>
              <w:t>OAB/RJ 213.181</w:t>
            </w:r>
          </w:p>
        </w:tc>
      </w:tr>
    </w:tbl>
    <w:p w14:paraId="789EA4D4" w14:textId="77777777" w:rsidR="007F2B2A" w:rsidRDefault="007F2B2A">
      <w:pPr>
        <w:spacing w:line="360" w:lineRule="auto"/>
        <w:jc w:val="center"/>
        <w:rPr>
          <w:rFonts w:ascii="Garamond" w:eastAsia="Garamond" w:hAnsi="Garamond" w:cs="Garamond"/>
        </w:rPr>
      </w:pPr>
    </w:p>
    <w:sectPr w:rsidR="007F2B2A">
      <w:headerReference w:type="default" r:id="rId8"/>
      <w:footerReference w:type="default" r:id="rId9"/>
      <w:pgSz w:w="11900" w:h="16840"/>
      <w:pgMar w:top="2410" w:right="1127" w:bottom="1418" w:left="1276" w:header="42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E10A2" w14:textId="77777777" w:rsidR="00AF01D0" w:rsidRDefault="00AF01D0">
      <w:r>
        <w:separator/>
      </w:r>
    </w:p>
  </w:endnote>
  <w:endnote w:type="continuationSeparator" w:id="0">
    <w:p w14:paraId="35EFA617" w14:textId="77777777" w:rsidR="00AF01D0" w:rsidRDefault="00AF0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FC597" w14:textId="77777777" w:rsidR="007F2B2A" w:rsidRDefault="00E946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5553F11E" wp14:editId="1055EAD6">
          <wp:simplePos x="0" y="0"/>
          <wp:positionH relativeFrom="column">
            <wp:posOffset>-616581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4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FFBEB07" w14:textId="77777777" w:rsidR="007F2B2A" w:rsidRDefault="00E946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4B1ECC8A" wp14:editId="779997D5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4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5A62AE14" wp14:editId="16BD1E18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4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7435B9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0B3DCD4E" w14:textId="77777777" w:rsidR="007F2B2A" w:rsidRDefault="00E946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  <w:sz w:val="18"/>
        <w:szCs w:val="18"/>
      </w:rPr>
      <w:t xml:space="preserve">Página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02731E">
      <w:rPr>
        <w:b/>
        <w:noProof/>
        <w:color w:val="000000"/>
        <w:sz w:val="18"/>
        <w:szCs w:val="18"/>
      </w:rPr>
      <w:t>1</w:t>
    </w:r>
    <w:r>
      <w:rPr>
        <w:b/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NUMPAGES</w:instrText>
    </w:r>
    <w:r>
      <w:rPr>
        <w:b/>
        <w:color w:val="000000"/>
        <w:sz w:val="18"/>
        <w:szCs w:val="18"/>
      </w:rPr>
      <w:fldChar w:fldCharType="separate"/>
    </w:r>
    <w:r w:rsidR="0002731E">
      <w:rPr>
        <w:b/>
        <w:noProof/>
        <w:color w:val="000000"/>
        <w:sz w:val="18"/>
        <w:szCs w:val="18"/>
      </w:rPr>
      <w:t>2</w:t>
    </w:r>
    <w:r>
      <w:rPr>
        <w:b/>
        <w:color w:val="000000"/>
        <w:sz w:val="18"/>
        <w:szCs w:val="18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7038369D" wp14:editId="37941235">
          <wp:simplePos x="0" y="0"/>
          <wp:positionH relativeFrom="column">
            <wp:posOffset>5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4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F9EDAB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E348B" w14:textId="77777777" w:rsidR="00AF01D0" w:rsidRDefault="00AF01D0">
      <w:r>
        <w:separator/>
      </w:r>
    </w:p>
  </w:footnote>
  <w:footnote w:type="continuationSeparator" w:id="0">
    <w:p w14:paraId="34438C4B" w14:textId="77777777" w:rsidR="00AF01D0" w:rsidRDefault="00AF0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BCC9C" w14:textId="003AF880" w:rsidR="007F2B2A" w:rsidRDefault="00E946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715BEF55" wp14:editId="655BF18E">
          <wp:simplePos x="0" y="0"/>
          <wp:positionH relativeFrom="column">
            <wp:posOffset>0</wp:posOffset>
          </wp:positionH>
          <wp:positionV relativeFrom="paragraph">
            <wp:posOffset>-104775</wp:posOffset>
          </wp:positionV>
          <wp:extent cx="1276350" cy="1276350"/>
          <wp:effectExtent l="0" t="0" r="0" b="0"/>
          <wp:wrapNone/>
          <wp:docPr id="1646059390" name="Picture 1646059390" descr="A logo of a company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  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2A3C34C" wp14:editId="06DA4FFB">
          <wp:simplePos x="0" y="0"/>
          <wp:positionH relativeFrom="column">
            <wp:posOffset>4843780</wp:posOffset>
          </wp:positionH>
          <wp:positionV relativeFrom="paragraph">
            <wp:posOffset>-48256</wp:posOffset>
          </wp:positionV>
          <wp:extent cx="1275715" cy="1046480"/>
          <wp:effectExtent l="0" t="0" r="0" b="0"/>
          <wp:wrapSquare wrapText="bothSides" distT="0" distB="0" distL="114300" distR="114300"/>
          <wp:docPr id="1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E53CE2" w14:textId="77777777" w:rsidR="007F2B2A" w:rsidRDefault="007F2B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C4849"/>
    <w:multiLevelType w:val="multilevel"/>
    <w:tmpl w:val="C0922D9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A5ABB"/>
    <w:multiLevelType w:val="multilevel"/>
    <w:tmpl w:val="F46EBD68"/>
    <w:lvl w:ilvl="0">
      <w:start w:val="23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59F1404B"/>
    <w:multiLevelType w:val="multilevel"/>
    <w:tmpl w:val="605AD98A"/>
    <w:lvl w:ilvl="0">
      <w:start w:val="1"/>
      <w:numFmt w:val="lowerRoman"/>
      <w:lvlText w:val="%1."/>
      <w:lvlJc w:val="left"/>
      <w:pPr>
        <w:ind w:left="1854" w:hanging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num w:numId="1" w16cid:durableId="317732734">
    <w:abstractNumId w:val="2"/>
  </w:num>
  <w:num w:numId="2" w16cid:durableId="1407072931">
    <w:abstractNumId w:val="1"/>
  </w:num>
  <w:num w:numId="3" w16cid:durableId="54657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B2A"/>
    <w:rsid w:val="00005760"/>
    <w:rsid w:val="0002731E"/>
    <w:rsid w:val="000C03B7"/>
    <w:rsid w:val="000D639B"/>
    <w:rsid w:val="0012725A"/>
    <w:rsid w:val="00224E99"/>
    <w:rsid w:val="002D1BC7"/>
    <w:rsid w:val="00424A15"/>
    <w:rsid w:val="00485107"/>
    <w:rsid w:val="004D5A49"/>
    <w:rsid w:val="005F5AD0"/>
    <w:rsid w:val="007A3A6F"/>
    <w:rsid w:val="007F2B2A"/>
    <w:rsid w:val="009C334E"/>
    <w:rsid w:val="00A13186"/>
    <w:rsid w:val="00A13D85"/>
    <w:rsid w:val="00AF01D0"/>
    <w:rsid w:val="00D74827"/>
    <w:rsid w:val="00DF5D54"/>
    <w:rsid w:val="00E9465B"/>
    <w:rsid w:val="00F6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CA269"/>
  <w15:docId w15:val="{004EF4E2-2C42-4318-AC15-863610BA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pt-B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C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212F38"/>
    <w:pPr>
      <w:spacing w:before="240" w:after="60"/>
      <w:outlineLvl w:val="6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253"/>
  </w:style>
  <w:style w:type="paragraph" w:styleId="Footer">
    <w:name w:val="footer"/>
    <w:basedOn w:val="Normal"/>
    <w:link w:val="FooterChar"/>
    <w:uiPriority w:val="99"/>
    <w:unhideWhenUsed/>
    <w:rsid w:val="008732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253"/>
  </w:style>
  <w:style w:type="paragraph" w:styleId="BalloonText">
    <w:name w:val="Balloon Text"/>
    <w:basedOn w:val="Normal"/>
    <w:link w:val="BalloonTextChar"/>
    <w:uiPriority w:val="99"/>
    <w:semiHidden/>
    <w:unhideWhenUsed/>
    <w:rsid w:val="008732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53"/>
    <w:rPr>
      <w:rFonts w:ascii="Lucida Grande" w:hAnsi="Lucida Grande" w:cs="Lucida Grande"/>
      <w:sz w:val="18"/>
      <w:szCs w:val="18"/>
    </w:rPr>
  </w:style>
  <w:style w:type="paragraph" w:customStyle="1" w:styleId="first-p">
    <w:name w:val="first-p"/>
    <w:basedOn w:val="Normal"/>
    <w:qFormat/>
    <w:rsid w:val="00651750"/>
    <w:pPr>
      <w:spacing w:beforeAutospacing="1" w:afterAutospacing="1"/>
    </w:pPr>
    <w:rPr>
      <w:rFonts w:ascii="Times New Roman" w:eastAsia="Times New Roman" w:hAnsi="Times New Roman" w:cs="Times New Roman"/>
      <w:color w:val="00000A"/>
    </w:rPr>
  </w:style>
  <w:style w:type="paragraph" w:styleId="NormalWeb">
    <w:name w:val="Normal (Web)"/>
    <w:basedOn w:val="Normal"/>
    <w:rsid w:val="00212F3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paragraph" w:styleId="BodyText">
    <w:name w:val="Body Text"/>
    <w:basedOn w:val="Normal"/>
    <w:link w:val="BodyTextChar"/>
    <w:rsid w:val="00212F3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">
    <w:name w:val="Body Text Indent"/>
    <w:basedOn w:val="Normal"/>
    <w:link w:val="BodyTextIndentChar"/>
    <w:rsid w:val="00212F38"/>
    <w:pPr>
      <w:spacing w:after="120"/>
      <w:ind w:left="283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212F38"/>
    <w:rPr>
      <w:rFonts w:ascii="Times New Roman" w:eastAsia="Times New Roman" w:hAnsi="Times New Roman" w:cs="Times New Roman"/>
      <w:lang w:eastAsia="pt-BR"/>
    </w:rPr>
  </w:style>
  <w:style w:type="paragraph" w:styleId="BodyTextIndent3">
    <w:name w:val="Body Text Indent 3"/>
    <w:basedOn w:val="Normal"/>
    <w:link w:val="BodyTextIndent3Char"/>
    <w:rsid w:val="00212F38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12F3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BodyTextIndent2">
    <w:name w:val="Body Text Indent 2"/>
    <w:basedOn w:val="Normal"/>
    <w:link w:val="BodyTextIndent2Char"/>
    <w:rsid w:val="00212F38"/>
    <w:pPr>
      <w:spacing w:after="120" w:line="480" w:lineRule="auto"/>
      <w:ind w:left="283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12F38"/>
    <w:rPr>
      <w:rFonts w:ascii="Times New Roman" w:eastAsia="Times New Roman" w:hAnsi="Times New Roman" w:cs="Times New Roman"/>
      <w:lang w:eastAsia="pt-BR"/>
    </w:rPr>
  </w:style>
  <w:style w:type="paragraph" w:styleId="FootnoteText">
    <w:name w:val="footnote text"/>
    <w:basedOn w:val="Normal"/>
    <w:link w:val="FootnoteTextChar"/>
    <w:semiHidden/>
    <w:rsid w:val="00212F38"/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12F3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otnoteReference">
    <w:name w:val="footnote reference"/>
    <w:semiHidden/>
    <w:rsid w:val="00212F38"/>
    <w:rPr>
      <w:vertAlign w:val="superscript"/>
    </w:rPr>
  </w:style>
  <w:style w:type="table" w:styleId="TableGrid">
    <w:name w:val="Table Grid"/>
    <w:basedOn w:val="TableNormal"/>
    <w:rsid w:val="00212F38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12F38"/>
    <w:rPr>
      <w:color w:val="0000FF" w:themeColor="hyperlink"/>
      <w:u w:val="single"/>
    </w:rPr>
  </w:style>
  <w:style w:type="character" w:customStyle="1" w:styleId="Heading7Char">
    <w:name w:val="Heading 7 Char"/>
    <w:basedOn w:val="DefaultParagraphFont"/>
    <w:link w:val="Heading7"/>
    <w:rsid w:val="00212F38"/>
    <w:rPr>
      <w:rFonts w:ascii="Times New Roman" w:eastAsia="Times New Roman" w:hAnsi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1949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04C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3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kJ9UCJ3zEBvWN+9dM/UUqgFXAw==">AMUW2mVGW69g/ErmZPriSlqaARq9KEjZ7CK4PrqNvSAvtXtNE0HBEfJhHZ56/dI8vvmo7dPrEDJXpdYuSEU6YMM+TtdZGB4zZCH39ISq/CgbC9cpKJe99qky+6BHDgTexflnzr8DRi2r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2186</Words>
  <Characters>12462</Characters>
  <Application>Microsoft Office Word</Application>
  <DocSecurity>0</DocSecurity>
  <Lines>103</Lines>
  <Paragraphs>29</Paragraphs>
  <ScaleCrop>false</ScaleCrop>
  <Company/>
  <LinksUpToDate>false</LinksUpToDate>
  <CharactersWithSpaces>14619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Kaue  Vianna</dc:creator>
  <cp:lastModifiedBy>Liz Werner</cp:lastModifiedBy>
  <cp:revision>5</cp:revision>
  <cp:lastPrinted>2023-07-14T15:58:00Z</cp:lastPrinted>
  <dcterms:created xsi:type="dcterms:W3CDTF">2023-07-14T15:58:00Z</dcterms:created>
  <dcterms:modified xsi:type="dcterms:W3CDTF">2024-10-16T16:49:00Z</dcterms:modified>
</cp:coreProperties>
</file>