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EA237" w14:textId="77777777" w:rsidR="00AB1F4B" w:rsidRDefault="00000000">
      <w:pPr>
        <w:spacing w:line="360" w:lineRule="auto"/>
        <w:jc w:val="both"/>
        <w:rPr>
          <w:rFonts w:ascii="Garamond" w:eastAsia="Garamond" w:hAnsi="Garamond" w:cs="Garamond"/>
          <w:b/>
          <w:sz w:val="23"/>
          <w:szCs w:val="23"/>
        </w:rPr>
      </w:pPr>
      <w:r>
        <w:rPr>
          <w:rFonts w:ascii="Garamond" w:eastAsia="Garamond" w:hAnsi="Garamond" w:cs="Garamond"/>
          <w:b/>
          <w:sz w:val="23"/>
          <w:szCs w:val="23"/>
        </w:rPr>
        <w:t>EXMO.  SR.  DR.  DESEMBARGADOR DO EGRÉGIO TRIBUNAL DE JUSTIÇA DO ESTADO DO RIO DE JANEIRO</w:t>
      </w:r>
    </w:p>
    <w:p w14:paraId="4801D9D8" w14:textId="77777777" w:rsidR="00AB1F4B" w:rsidRDefault="00AB1F4B">
      <w:pPr>
        <w:spacing w:line="360" w:lineRule="auto"/>
        <w:jc w:val="both"/>
        <w:rPr>
          <w:rFonts w:ascii="Garamond" w:eastAsia="Garamond" w:hAnsi="Garamond" w:cs="Garamond"/>
          <w:b/>
          <w:sz w:val="23"/>
          <w:szCs w:val="23"/>
        </w:rPr>
      </w:pPr>
    </w:p>
    <w:p w14:paraId="0A0F0059" w14:textId="1288470F" w:rsidR="00AB1F4B" w:rsidRDefault="00000000">
      <w:pPr>
        <w:spacing w:line="360" w:lineRule="auto"/>
        <w:jc w:val="both"/>
        <w:rPr>
          <w:rFonts w:ascii="Garamond" w:eastAsia="Garamond" w:hAnsi="Garamond" w:cs="Garamond"/>
          <w:b/>
          <w:sz w:val="23"/>
          <w:szCs w:val="23"/>
        </w:rPr>
      </w:pPr>
      <w:r>
        <w:rPr>
          <w:rFonts w:ascii="Garamond" w:eastAsia="Garamond" w:hAnsi="Garamond" w:cs="Garamond"/>
          <w:b/>
          <w:sz w:val="23"/>
          <w:szCs w:val="23"/>
        </w:rPr>
        <w:t xml:space="preserve">Processo de origem: </w:t>
      </w:r>
      <w:r w:rsidR="00A43437" w:rsidRPr="00A43437">
        <w:rPr>
          <w:rFonts w:ascii="Garamond" w:eastAsia="Garamond" w:hAnsi="Garamond" w:cs="Garamond"/>
          <w:b/>
          <w:sz w:val="23"/>
          <w:szCs w:val="23"/>
        </w:rPr>
        <w:t>[PROCESSO]</w:t>
      </w:r>
    </w:p>
    <w:p w14:paraId="7C8D17BE" w14:textId="64E35E75" w:rsidR="00AB1F4B" w:rsidRDefault="00000000">
      <w:pPr>
        <w:spacing w:line="360" w:lineRule="auto"/>
        <w:jc w:val="both"/>
        <w:rPr>
          <w:rFonts w:ascii="Garamond" w:eastAsia="Garamond" w:hAnsi="Garamond" w:cs="Garamond"/>
          <w:b/>
          <w:sz w:val="23"/>
          <w:szCs w:val="23"/>
        </w:rPr>
      </w:pPr>
      <w:r>
        <w:rPr>
          <w:rFonts w:ascii="Garamond" w:eastAsia="Garamond" w:hAnsi="Garamond" w:cs="Garamond"/>
          <w:b/>
          <w:sz w:val="23"/>
          <w:szCs w:val="23"/>
        </w:rPr>
        <w:t xml:space="preserve">Agravante: </w:t>
      </w:r>
      <w:r w:rsidR="00A43437" w:rsidRPr="00A43437">
        <w:rPr>
          <w:rFonts w:ascii="Garamond" w:hAnsi="Garamond"/>
          <w:b/>
          <w:sz w:val="23"/>
          <w:szCs w:val="23"/>
          <w:bdr w:val="none" w:sz="0" w:space="0" w:color="auto" w:frame="1"/>
        </w:rPr>
        <w:t>[NOME]</w:t>
      </w:r>
    </w:p>
    <w:p w14:paraId="4BD4C3D1" w14:textId="2989A6A0" w:rsidR="00AB1F4B" w:rsidRDefault="00000000">
      <w:pPr>
        <w:spacing w:line="360" w:lineRule="auto"/>
        <w:jc w:val="both"/>
        <w:rPr>
          <w:rFonts w:ascii="Garamond" w:eastAsia="Garamond" w:hAnsi="Garamond" w:cs="Garamond"/>
          <w:b/>
          <w:sz w:val="23"/>
          <w:szCs w:val="23"/>
        </w:rPr>
      </w:pPr>
      <w:r>
        <w:rPr>
          <w:rFonts w:ascii="Garamond" w:eastAsia="Garamond" w:hAnsi="Garamond" w:cs="Garamond"/>
          <w:b/>
          <w:sz w:val="23"/>
          <w:szCs w:val="23"/>
        </w:rPr>
        <w:t xml:space="preserve">Agravado: </w:t>
      </w:r>
      <w:r>
        <w:rPr>
          <w:rFonts w:ascii="Garamond" w:eastAsia="Garamond" w:hAnsi="Garamond" w:cs="Garamond"/>
          <w:b/>
          <w:color w:val="000000"/>
          <w:sz w:val="23"/>
          <w:szCs w:val="23"/>
          <w:highlight w:val="white"/>
        </w:rPr>
        <w:t>ESTADO DO RIO DE JANEIRO</w:t>
      </w:r>
    </w:p>
    <w:p w14:paraId="23A76A5C" w14:textId="77777777" w:rsidR="00AB1F4B" w:rsidRDefault="00AB1F4B">
      <w:pPr>
        <w:spacing w:line="360" w:lineRule="auto"/>
        <w:jc w:val="both"/>
        <w:rPr>
          <w:rFonts w:ascii="Garamond" w:eastAsia="Garamond" w:hAnsi="Garamond" w:cs="Garamond"/>
          <w:sz w:val="23"/>
          <w:szCs w:val="23"/>
        </w:rPr>
      </w:pPr>
    </w:p>
    <w:p w14:paraId="0A438683" w14:textId="77777777" w:rsidR="003C764F" w:rsidRPr="008C606A" w:rsidRDefault="003C764F" w:rsidP="003C764F">
      <w:pPr>
        <w:spacing w:line="360" w:lineRule="auto"/>
        <w:jc w:val="both"/>
        <w:rPr>
          <w:rFonts w:ascii="Garamond" w:hAnsi="Garamond"/>
          <w:sz w:val="23"/>
          <w:szCs w:val="23"/>
        </w:rPr>
      </w:pPr>
    </w:p>
    <w:p w14:paraId="68A81453" w14:textId="3E129291" w:rsidR="00AB1F4B" w:rsidRDefault="00A43437" w:rsidP="003C764F">
      <w:pPr>
        <w:spacing w:line="360" w:lineRule="auto"/>
        <w:ind w:firstLine="1134"/>
        <w:jc w:val="both"/>
        <w:rPr>
          <w:rFonts w:ascii="Garamond" w:eastAsia="Garamond" w:hAnsi="Garamond" w:cs="Garamond"/>
          <w:sz w:val="23"/>
          <w:szCs w:val="23"/>
        </w:rPr>
      </w:pPr>
      <w:r w:rsidRPr="00474A18">
        <w:rPr>
          <w:rFonts w:ascii="Garamond" w:hAnsi="Garamond"/>
          <w:b/>
          <w:sz w:val="23"/>
          <w:szCs w:val="23"/>
        </w:rPr>
        <w:t>${nome}</w:t>
      </w:r>
      <w:r>
        <w:rPr>
          <w:rFonts w:ascii="Garamond" w:hAnsi="Garamond"/>
          <w:b/>
          <w:sz w:val="23"/>
          <w:szCs w:val="23"/>
        </w:rPr>
        <w:t xml:space="preserve">, </w:t>
      </w:r>
      <w:r>
        <w:rPr>
          <w:rFonts w:ascii="Garamond" w:hAnsi="Garamond"/>
          <w:bCs/>
          <w:sz w:val="23"/>
          <w:szCs w:val="23"/>
        </w:rPr>
        <w:t xml:space="preserve">NACIONALIDADE, PROFISSAO, ESTADOCIVIL, Identidade nº </w:t>
      </w:r>
      <w:r w:rsidRPr="004A4079">
        <w:rPr>
          <w:rFonts w:ascii="Garamond" w:hAnsi="Garamond"/>
          <w:bCs/>
          <w:sz w:val="23"/>
          <w:szCs w:val="23"/>
        </w:rPr>
        <w:t>IDENTIDADE</w:t>
      </w:r>
      <w:r>
        <w:rPr>
          <w:rFonts w:ascii="Garamond" w:hAnsi="Garamond"/>
          <w:bCs/>
          <w:sz w:val="23"/>
          <w:szCs w:val="23"/>
        </w:rPr>
        <w:t>, Cadastro de Pessoa Física nº CPF, Identificação Funcional nº IDFUNCIONAL, R</w:t>
      </w:r>
      <w:r w:rsidRPr="00574EAE">
        <w:rPr>
          <w:rFonts w:ascii="Garamond" w:hAnsi="Garamond"/>
          <w:bCs/>
          <w:sz w:val="23"/>
          <w:szCs w:val="23"/>
        </w:rPr>
        <w:t xml:space="preserve">esidente e domiciliada à </w:t>
      </w:r>
      <w:r>
        <w:rPr>
          <w:rFonts w:ascii="Garamond" w:hAnsi="Garamond"/>
          <w:bCs/>
          <w:sz w:val="23"/>
          <w:szCs w:val="23"/>
        </w:rPr>
        <w:t>ENDERECO</w:t>
      </w:r>
      <w:r w:rsidRPr="00574EAE">
        <w:rPr>
          <w:rFonts w:ascii="Garamond" w:hAnsi="Garamond"/>
          <w:bCs/>
          <w:sz w:val="23"/>
          <w:szCs w:val="23"/>
        </w:rPr>
        <w:t>, CEP ${cep}</w:t>
      </w:r>
      <w:r w:rsidR="003C764F">
        <w:rPr>
          <w:rFonts w:ascii="Garamond" w:hAnsi="Garamond"/>
          <w:sz w:val="23"/>
          <w:szCs w:val="23"/>
          <w:bdr w:val="none" w:sz="0" w:space="0" w:color="auto" w:frame="1"/>
        </w:rPr>
        <w:t>,</w:t>
      </w:r>
      <w:r w:rsidR="003C764F" w:rsidRPr="008C606A">
        <w:rPr>
          <w:rFonts w:ascii="Garamond" w:hAnsi="Garamond"/>
          <w:sz w:val="23"/>
          <w:szCs w:val="23"/>
        </w:rPr>
        <w:t xml:space="preserve"> vem, respeitosamente, por seus advogados, E-mail: </w:t>
      </w:r>
      <w:hyperlink r:id="rId8" w:history="1">
        <w:r w:rsidR="003C764F" w:rsidRPr="008C606A">
          <w:rPr>
            <w:rStyle w:val="Hyperlink"/>
            <w:rFonts w:ascii="Garamond" w:hAnsi="Garamond"/>
            <w:sz w:val="23"/>
            <w:szCs w:val="23"/>
          </w:rPr>
          <w:t>liz.wf@hotmail.com</w:t>
        </w:r>
      </w:hyperlink>
      <w:r w:rsidR="003C764F" w:rsidRPr="008C606A">
        <w:rPr>
          <w:rStyle w:val="Hyperlink"/>
          <w:rFonts w:ascii="Garamond" w:hAnsi="Garamond"/>
          <w:sz w:val="23"/>
          <w:szCs w:val="23"/>
        </w:rPr>
        <w:t xml:space="preserve"> e contato@masulloeaguiar.com.br</w:t>
      </w:r>
      <w:r w:rsidR="003C764F">
        <w:rPr>
          <w:rFonts w:ascii="Garamond" w:eastAsia="Garamond" w:hAnsi="Garamond" w:cs="Garamond"/>
          <w:sz w:val="23"/>
          <w:szCs w:val="23"/>
        </w:rPr>
        <w:t>, inconformada com a r. decisão id</w:t>
      </w:r>
      <w:r>
        <w:rPr>
          <w:rFonts w:ascii="Garamond" w:eastAsia="Garamond" w:hAnsi="Garamond" w:cs="Garamond"/>
          <w:sz w:val="23"/>
          <w:szCs w:val="23"/>
        </w:rPr>
        <w:t xml:space="preserve"> </w:t>
      </w:r>
      <w:r w:rsidR="003C764F">
        <w:rPr>
          <w:rFonts w:ascii="Garamond" w:eastAsia="Garamond" w:hAnsi="Garamond" w:cs="Garamond"/>
          <w:sz w:val="23"/>
          <w:szCs w:val="23"/>
        </w:rPr>
        <w:t xml:space="preserve">, interpor, com fulcro nos art. 1015, inciso V, do CPC, </w:t>
      </w:r>
      <w:r w:rsidR="003C764F">
        <w:rPr>
          <w:rFonts w:ascii="Garamond" w:eastAsia="Garamond" w:hAnsi="Garamond" w:cs="Garamond"/>
          <w:b/>
          <w:sz w:val="23"/>
          <w:szCs w:val="23"/>
          <w:u w:val="single"/>
        </w:rPr>
        <w:t>RECURSO DE AGRAVO DE INSTRUMENTO</w:t>
      </w:r>
      <w:r w:rsidR="003C764F">
        <w:rPr>
          <w:rFonts w:ascii="Garamond" w:eastAsia="Garamond" w:hAnsi="Garamond" w:cs="Garamond"/>
          <w:sz w:val="23"/>
          <w:szCs w:val="23"/>
        </w:rPr>
        <w:t xml:space="preserve">, requerendo que este Eg. Tribunal o receba, na forma do art. 1.019, I do mesmo diploma legal e em conformidade com as razões em anexo intimando, se for o caso, a agravada para responder ao presente. </w:t>
      </w:r>
    </w:p>
    <w:p w14:paraId="1320AA3E" w14:textId="77777777" w:rsidR="00AB1F4B" w:rsidRDefault="00000000">
      <w:pPr>
        <w:pBdr>
          <w:top w:val="single" w:sz="4" w:space="10" w:color="5B9BD5"/>
          <w:left w:val="nil"/>
          <w:bottom w:val="single" w:sz="4" w:space="10" w:color="5B9BD5"/>
          <w:right w:val="nil"/>
          <w:between w:val="nil"/>
        </w:pBdr>
        <w:spacing w:before="360" w:after="360"/>
        <w:ind w:left="864" w:right="864"/>
        <w:jc w:val="center"/>
        <w:rPr>
          <w:rFonts w:ascii="Garamond" w:eastAsia="Garamond" w:hAnsi="Garamond" w:cs="Garamond"/>
          <w:i/>
          <w:color w:val="5B9BD5"/>
          <w:sz w:val="28"/>
          <w:szCs w:val="28"/>
        </w:rPr>
      </w:pPr>
      <w:r>
        <w:rPr>
          <w:rFonts w:ascii="Garamond" w:eastAsia="Garamond" w:hAnsi="Garamond" w:cs="Garamond"/>
          <w:i/>
          <w:color w:val="5B9BD5"/>
          <w:sz w:val="28"/>
          <w:szCs w:val="28"/>
        </w:rPr>
        <w:t>Da tempestividade</w:t>
      </w:r>
    </w:p>
    <w:p w14:paraId="672FCA30" w14:textId="2ADFA6BC" w:rsidR="00AB1F4B" w:rsidRDefault="00000000">
      <w:pPr>
        <w:spacing w:line="360" w:lineRule="auto"/>
        <w:ind w:firstLine="1134"/>
        <w:jc w:val="both"/>
        <w:rPr>
          <w:rFonts w:ascii="Garamond" w:eastAsia="Garamond" w:hAnsi="Garamond" w:cs="Garamond"/>
          <w:sz w:val="23"/>
          <w:szCs w:val="23"/>
        </w:rPr>
      </w:pPr>
      <w:r>
        <w:rPr>
          <w:rFonts w:ascii="Garamond" w:eastAsia="Garamond" w:hAnsi="Garamond" w:cs="Garamond"/>
          <w:sz w:val="23"/>
          <w:szCs w:val="23"/>
        </w:rPr>
        <w:t xml:space="preserve">O recurso deve ser considerado como tempestivo. A parte Agravante fora intimada da decisão atacada em </w:t>
      </w:r>
      <w:r w:rsidR="00A43437" w:rsidRPr="00A43437">
        <w:rPr>
          <w:rFonts w:ascii="Garamond" w:eastAsia="Garamond" w:hAnsi="Garamond" w:cs="Garamond"/>
          <w:sz w:val="23"/>
          <w:szCs w:val="23"/>
          <w:highlight w:val="yellow"/>
        </w:rPr>
        <w:t>D4T41NT1M4C40</w:t>
      </w:r>
      <w:r w:rsidR="003C764F">
        <w:rPr>
          <w:rFonts w:ascii="Garamond" w:eastAsia="Garamond" w:hAnsi="Garamond" w:cs="Garamond"/>
          <w:sz w:val="23"/>
          <w:szCs w:val="23"/>
        </w:rPr>
        <w:t xml:space="preserve">, quando opôs Embargos de Declaração, suspendendo-se a contagem do prazo processual, posteriormente sendo não acolhidos os Embargos de Declaração em decisão na qual a Autora/Agravante foi intimada em </w:t>
      </w:r>
      <w:r w:rsidR="00A43437" w:rsidRPr="00A43437">
        <w:rPr>
          <w:rFonts w:ascii="Garamond" w:eastAsia="Garamond" w:hAnsi="Garamond" w:cs="Garamond"/>
          <w:sz w:val="23"/>
          <w:szCs w:val="23"/>
          <w:highlight w:val="yellow"/>
        </w:rPr>
        <w:t>D</w:t>
      </w:r>
      <w:r w:rsidR="00A43437">
        <w:rPr>
          <w:rFonts w:ascii="Garamond" w:eastAsia="Garamond" w:hAnsi="Garamond" w:cs="Garamond"/>
          <w:sz w:val="23"/>
          <w:szCs w:val="23"/>
          <w:highlight w:val="yellow"/>
        </w:rPr>
        <w:t>A</w:t>
      </w:r>
      <w:r w:rsidR="00A43437" w:rsidRPr="00A43437">
        <w:rPr>
          <w:rFonts w:ascii="Garamond" w:eastAsia="Garamond" w:hAnsi="Garamond" w:cs="Garamond"/>
          <w:sz w:val="23"/>
          <w:szCs w:val="23"/>
          <w:highlight w:val="yellow"/>
        </w:rPr>
        <w:t>T41NT1M4C40</w:t>
      </w:r>
      <w:r w:rsidR="00A43437" w:rsidRPr="00A43437">
        <w:rPr>
          <w:rFonts w:ascii="Garamond" w:eastAsia="Garamond" w:hAnsi="Garamond" w:cs="Garamond"/>
          <w:sz w:val="23"/>
          <w:szCs w:val="23"/>
          <w:highlight w:val="yellow"/>
        </w:rPr>
        <w:t>3D</w:t>
      </w:r>
      <w:r>
        <w:rPr>
          <w:rFonts w:ascii="Garamond" w:eastAsia="Garamond" w:hAnsi="Garamond" w:cs="Garamond"/>
          <w:sz w:val="23"/>
          <w:szCs w:val="23"/>
        </w:rPr>
        <w:t>, consoante se denota dos autos do processo de origem.</w:t>
      </w:r>
    </w:p>
    <w:p w14:paraId="2F6C8016" w14:textId="77777777" w:rsidR="00AB1F4B" w:rsidRDefault="00AB1F4B">
      <w:pPr>
        <w:jc w:val="both"/>
        <w:rPr>
          <w:rFonts w:ascii="Garamond" w:eastAsia="Garamond" w:hAnsi="Garamond" w:cs="Garamond"/>
          <w:sz w:val="23"/>
          <w:szCs w:val="23"/>
        </w:rPr>
      </w:pPr>
    </w:p>
    <w:p w14:paraId="707A8E00" w14:textId="77777777" w:rsidR="00AB1F4B" w:rsidRDefault="00000000">
      <w:pPr>
        <w:spacing w:line="360" w:lineRule="auto"/>
        <w:ind w:firstLine="1134"/>
        <w:jc w:val="both"/>
        <w:rPr>
          <w:rFonts w:ascii="Garamond" w:eastAsia="Garamond" w:hAnsi="Garamond" w:cs="Garamond"/>
          <w:sz w:val="23"/>
          <w:szCs w:val="23"/>
        </w:rPr>
      </w:pPr>
      <w:r>
        <w:rPr>
          <w:rFonts w:ascii="Garamond" w:eastAsia="Garamond" w:hAnsi="Garamond" w:cs="Garamond"/>
          <w:sz w:val="23"/>
          <w:szCs w:val="23"/>
        </w:rPr>
        <w:t>Sendo o prazo do recurso em espécie quinzenal (CPC, art. 1.003, § 5º) e, por isso, o prazo processual fora devidamente obedecido.</w:t>
      </w:r>
    </w:p>
    <w:p w14:paraId="28A6972E" w14:textId="77777777" w:rsidR="00AB1F4B" w:rsidRDefault="00000000">
      <w:pPr>
        <w:pBdr>
          <w:top w:val="single" w:sz="4" w:space="10" w:color="5B9BD5"/>
          <w:left w:val="nil"/>
          <w:bottom w:val="single" w:sz="4" w:space="10" w:color="5B9BD5"/>
          <w:right w:val="nil"/>
          <w:between w:val="nil"/>
        </w:pBdr>
        <w:spacing w:before="360" w:after="360"/>
        <w:ind w:left="864" w:right="864"/>
        <w:jc w:val="center"/>
        <w:rPr>
          <w:rFonts w:ascii="Garamond" w:eastAsia="Garamond" w:hAnsi="Garamond" w:cs="Garamond"/>
          <w:i/>
          <w:color w:val="5B9BD5"/>
          <w:sz w:val="23"/>
          <w:szCs w:val="23"/>
        </w:rPr>
      </w:pPr>
      <w:r>
        <w:rPr>
          <w:rFonts w:ascii="Garamond" w:eastAsia="Garamond" w:hAnsi="Garamond" w:cs="Garamond"/>
          <w:i/>
          <w:color w:val="5B9BD5"/>
          <w:sz w:val="23"/>
          <w:szCs w:val="23"/>
        </w:rPr>
        <w:t xml:space="preserve">Formação do instrumento                                              </w:t>
      </w:r>
    </w:p>
    <w:p w14:paraId="1A0278E2" w14:textId="77777777" w:rsidR="00AB1F4B" w:rsidRDefault="00000000">
      <w:pPr>
        <w:spacing w:line="360" w:lineRule="auto"/>
        <w:jc w:val="both"/>
        <w:rPr>
          <w:rFonts w:ascii="Garamond" w:eastAsia="Garamond" w:hAnsi="Garamond" w:cs="Garamond"/>
          <w:sz w:val="23"/>
          <w:szCs w:val="23"/>
        </w:rPr>
      </w:pPr>
      <w:r>
        <w:rPr>
          <w:rFonts w:ascii="Garamond" w:eastAsia="Garamond" w:hAnsi="Garamond" w:cs="Garamond"/>
          <w:sz w:val="23"/>
          <w:szCs w:val="23"/>
        </w:rPr>
        <w:t>a) Do preparo (CPC, art. 1.007, caput c/c art. 1.017, § 1º)</w:t>
      </w:r>
    </w:p>
    <w:p w14:paraId="6BE44047" w14:textId="77777777" w:rsidR="00AB1F4B" w:rsidRDefault="00AB1F4B">
      <w:pPr>
        <w:jc w:val="both"/>
        <w:rPr>
          <w:rFonts w:ascii="Garamond" w:eastAsia="Garamond" w:hAnsi="Garamond" w:cs="Garamond"/>
          <w:sz w:val="23"/>
          <w:szCs w:val="23"/>
        </w:rPr>
      </w:pPr>
    </w:p>
    <w:p w14:paraId="2E82DD41" w14:textId="77777777" w:rsidR="00AB1F4B" w:rsidRDefault="00000000">
      <w:pPr>
        <w:spacing w:line="360" w:lineRule="auto"/>
        <w:ind w:firstLine="1134"/>
        <w:jc w:val="both"/>
        <w:rPr>
          <w:rFonts w:ascii="Garamond" w:eastAsia="Garamond" w:hAnsi="Garamond" w:cs="Garamond"/>
          <w:sz w:val="23"/>
          <w:szCs w:val="23"/>
        </w:rPr>
      </w:pPr>
      <w:r>
        <w:rPr>
          <w:rFonts w:ascii="Garamond" w:eastAsia="Garamond" w:hAnsi="Garamond" w:cs="Garamond"/>
          <w:sz w:val="23"/>
          <w:szCs w:val="23"/>
        </w:rPr>
        <w:t>A Recorrente informa que lhe foi concedida gratuidade de justiça.</w:t>
      </w:r>
    </w:p>
    <w:p w14:paraId="6D6ECB05" w14:textId="77777777" w:rsidR="00AB1F4B" w:rsidRDefault="00AB1F4B">
      <w:pPr>
        <w:ind w:firstLine="1134"/>
        <w:jc w:val="both"/>
        <w:rPr>
          <w:rFonts w:ascii="Garamond" w:eastAsia="Garamond" w:hAnsi="Garamond" w:cs="Garamond"/>
          <w:sz w:val="23"/>
          <w:szCs w:val="23"/>
        </w:rPr>
      </w:pPr>
    </w:p>
    <w:p w14:paraId="4E6F78CD" w14:textId="77777777" w:rsidR="00AB1F4B" w:rsidRDefault="00000000">
      <w:pPr>
        <w:spacing w:line="360" w:lineRule="auto"/>
        <w:jc w:val="both"/>
        <w:rPr>
          <w:rFonts w:ascii="Garamond" w:eastAsia="Garamond" w:hAnsi="Garamond" w:cs="Garamond"/>
          <w:sz w:val="23"/>
          <w:szCs w:val="23"/>
        </w:rPr>
      </w:pPr>
      <w:r>
        <w:rPr>
          <w:rFonts w:ascii="Garamond" w:eastAsia="Garamond" w:hAnsi="Garamond" w:cs="Garamond"/>
          <w:sz w:val="23"/>
          <w:szCs w:val="23"/>
        </w:rPr>
        <w:t>b) Peças obrigatórias e facultativas (CPC, art. 1.017, inc. I e III)</w:t>
      </w:r>
    </w:p>
    <w:p w14:paraId="257A1F39" w14:textId="77777777" w:rsidR="00AB1F4B" w:rsidRDefault="00AB1F4B">
      <w:pPr>
        <w:jc w:val="both"/>
        <w:rPr>
          <w:rFonts w:ascii="Garamond" w:eastAsia="Garamond" w:hAnsi="Garamond" w:cs="Garamond"/>
          <w:sz w:val="23"/>
          <w:szCs w:val="23"/>
        </w:rPr>
      </w:pPr>
    </w:p>
    <w:p w14:paraId="590CA3E0" w14:textId="77777777" w:rsidR="00AB1F4B" w:rsidRDefault="00000000">
      <w:pPr>
        <w:spacing w:line="360" w:lineRule="auto"/>
        <w:ind w:firstLine="1134"/>
        <w:jc w:val="both"/>
        <w:rPr>
          <w:rFonts w:ascii="Garamond" w:eastAsia="Garamond" w:hAnsi="Garamond" w:cs="Garamond"/>
          <w:sz w:val="23"/>
          <w:szCs w:val="23"/>
        </w:rPr>
      </w:pPr>
      <w:r>
        <w:rPr>
          <w:rFonts w:ascii="Garamond" w:eastAsia="Garamond" w:hAnsi="Garamond" w:cs="Garamond"/>
          <w:sz w:val="23"/>
          <w:szCs w:val="23"/>
        </w:rPr>
        <w:t>A parte agravante não junta as peças obrigatórias nestes autos uma vez que se trata de processo eletrônico, como versa o §5º do Art. 1017, do CPC, que estipula “</w:t>
      </w:r>
      <w:r>
        <w:rPr>
          <w:rFonts w:ascii="Garamond" w:eastAsia="Garamond" w:hAnsi="Garamond" w:cs="Garamond"/>
          <w:i/>
          <w:sz w:val="23"/>
          <w:szCs w:val="23"/>
        </w:rPr>
        <w:t>Sendo eletrônicos os autos do processo, dispensam-se as peças referidas nos incisos I e II do caput, facultando-se ao agravante anexar outros documentos que entender úteis para a compreensão da controvérsia.</w:t>
      </w:r>
      <w:r>
        <w:rPr>
          <w:rFonts w:ascii="Garamond" w:eastAsia="Garamond" w:hAnsi="Garamond" w:cs="Garamond"/>
          <w:sz w:val="23"/>
          <w:szCs w:val="23"/>
        </w:rPr>
        <w:t>”</w:t>
      </w:r>
    </w:p>
    <w:p w14:paraId="54F79DDE" w14:textId="77777777" w:rsidR="00AB1F4B" w:rsidRDefault="00AB1F4B">
      <w:pPr>
        <w:ind w:firstLine="1134"/>
        <w:jc w:val="both"/>
        <w:rPr>
          <w:rFonts w:ascii="Garamond" w:eastAsia="Garamond" w:hAnsi="Garamond" w:cs="Garamond"/>
          <w:sz w:val="23"/>
          <w:szCs w:val="23"/>
        </w:rPr>
      </w:pPr>
    </w:p>
    <w:p w14:paraId="3A703127" w14:textId="77777777" w:rsidR="00AB1F4B" w:rsidRDefault="00000000">
      <w:pPr>
        <w:spacing w:line="360" w:lineRule="auto"/>
        <w:ind w:firstLine="1134"/>
        <w:jc w:val="both"/>
        <w:rPr>
          <w:rFonts w:ascii="Garamond" w:eastAsia="Garamond" w:hAnsi="Garamond" w:cs="Garamond"/>
          <w:sz w:val="23"/>
          <w:szCs w:val="23"/>
        </w:rPr>
      </w:pPr>
      <w:r>
        <w:rPr>
          <w:rFonts w:ascii="Garamond" w:eastAsia="Garamond" w:hAnsi="Garamond" w:cs="Garamond"/>
          <w:sz w:val="23"/>
          <w:szCs w:val="23"/>
        </w:rPr>
        <w:t>Sendo assim, a Agravante junta as peças facultativas, conforme o Art. 1017, III do CPC, as quais julga de imensa relevância para este instrumento. </w:t>
      </w:r>
    </w:p>
    <w:p w14:paraId="7D1A8765" w14:textId="77777777" w:rsidR="00AB1F4B" w:rsidRDefault="00AB1F4B">
      <w:pPr>
        <w:ind w:firstLine="1134"/>
        <w:jc w:val="both"/>
        <w:rPr>
          <w:rFonts w:ascii="Garamond" w:eastAsia="Garamond" w:hAnsi="Garamond" w:cs="Garamond"/>
          <w:sz w:val="23"/>
          <w:szCs w:val="23"/>
        </w:rPr>
      </w:pPr>
    </w:p>
    <w:p w14:paraId="7DC932E9" w14:textId="77777777" w:rsidR="00AB1F4B" w:rsidRDefault="00000000">
      <w:pPr>
        <w:spacing w:line="360" w:lineRule="auto"/>
        <w:jc w:val="both"/>
        <w:rPr>
          <w:rFonts w:ascii="Garamond" w:eastAsia="Garamond" w:hAnsi="Garamond" w:cs="Garamond"/>
          <w:sz w:val="23"/>
          <w:szCs w:val="23"/>
        </w:rPr>
      </w:pPr>
      <w:r>
        <w:rPr>
          <w:rFonts w:ascii="Garamond" w:eastAsia="Garamond" w:hAnsi="Garamond" w:cs="Garamond"/>
          <w:sz w:val="23"/>
          <w:szCs w:val="23"/>
        </w:rPr>
        <w:t>·        Decisão interlocutória recorrida;</w:t>
      </w:r>
    </w:p>
    <w:p w14:paraId="2AB3135A" w14:textId="77777777" w:rsidR="00AB1F4B" w:rsidRDefault="00000000">
      <w:pPr>
        <w:spacing w:line="360" w:lineRule="auto"/>
        <w:jc w:val="both"/>
        <w:rPr>
          <w:rFonts w:ascii="Garamond" w:eastAsia="Garamond" w:hAnsi="Garamond" w:cs="Garamond"/>
          <w:sz w:val="23"/>
          <w:szCs w:val="23"/>
        </w:rPr>
      </w:pPr>
      <w:r>
        <w:rPr>
          <w:rFonts w:ascii="Garamond" w:eastAsia="Garamond" w:hAnsi="Garamond" w:cs="Garamond"/>
          <w:sz w:val="23"/>
          <w:szCs w:val="23"/>
        </w:rPr>
        <w:t>·        Cópia integral do processo de origem;</w:t>
      </w:r>
    </w:p>
    <w:p w14:paraId="32FA1D2B" w14:textId="77777777" w:rsidR="00AB1F4B" w:rsidRDefault="00AB1F4B">
      <w:pPr>
        <w:jc w:val="both"/>
        <w:rPr>
          <w:rFonts w:ascii="Garamond" w:eastAsia="Garamond" w:hAnsi="Garamond" w:cs="Garamond"/>
          <w:sz w:val="23"/>
          <w:szCs w:val="23"/>
        </w:rPr>
      </w:pPr>
    </w:p>
    <w:p w14:paraId="403DBA4F" w14:textId="77777777" w:rsidR="00AB1F4B" w:rsidRDefault="00000000">
      <w:pPr>
        <w:spacing w:line="360" w:lineRule="auto"/>
        <w:ind w:firstLine="1134"/>
        <w:jc w:val="both"/>
        <w:rPr>
          <w:rFonts w:ascii="Garamond" w:eastAsia="Garamond" w:hAnsi="Garamond" w:cs="Garamond"/>
          <w:sz w:val="23"/>
          <w:szCs w:val="23"/>
        </w:rPr>
      </w:pPr>
      <w:r>
        <w:rPr>
          <w:rFonts w:ascii="Garamond" w:eastAsia="Garamond" w:hAnsi="Garamond" w:cs="Garamond"/>
          <w:sz w:val="23"/>
          <w:szCs w:val="23"/>
        </w:rPr>
        <w:t>Diante disso, pleiteia-se o processamento do presente recurso, sendo o mesmo distribuído a uma das Câmaras de Direito Público deste Egrégio Tribunal de Justiça (CPC/2015, art. 1.016, caput), para que seja, inicialmente, e com urgência, submetido para análise do pedido da tutela antecipada recursal (novo CPC, art. 1.019, inc. I).</w:t>
      </w:r>
    </w:p>
    <w:p w14:paraId="1B2151AD" w14:textId="77777777" w:rsidR="00AB1F4B" w:rsidRDefault="00AB1F4B">
      <w:pPr>
        <w:jc w:val="both"/>
        <w:rPr>
          <w:rFonts w:ascii="Garamond" w:eastAsia="Garamond" w:hAnsi="Garamond" w:cs="Garamond"/>
          <w:sz w:val="23"/>
          <w:szCs w:val="23"/>
        </w:rPr>
      </w:pPr>
    </w:p>
    <w:p w14:paraId="68471FAE" w14:textId="77777777" w:rsidR="00AB1F4B" w:rsidRDefault="00000000">
      <w:pPr>
        <w:spacing w:line="360" w:lineRule="auto"/>
        <w:ind w:firstLine="1134"/>
        <w:jc w:val="both"/>
        <w:rPr>
          <w:rFonts w:ascii="Garamond" w:eastAsia="Garamond" w:hAnsi="Garamond" w:cs="Garamond"/>
          <w:sz w:val="23"/>
          <w:szCs w:val="23"/>
        </w:rPr>
      </w:pPr>
      <w:r>
        <w:rPr>
          <w:rFonts w:ascii="Garamond" w:eastAsia="Garamond" w:hAnsi="Garamond" w:cs="Garamond"/>
          <w:sz w:val="23"/>
          <w:szCs w:val="23"/>
        </w:rPr>
        <w:t xml:space="preserve">Reitera-se pela parte </w:t>
      </w:r>
      <w:r>
        <w:rPr>
          <w:rFonts w:ascii="Garamond" w:eastAsia="Garamond" w:hAnsi="Garamond" w:cs="Garamond"/>
          <w:b/>
          <w:sz w:val="23"/>
          <w:szCs w:val="23"/>
          <w:u w:val="single"/>
        </w:rPr>
        <w:t>agravante</w:t>
      </w:r>
      <w:r>
        <w:rPr>
          <w:rFonts w:ascii="Garamond" w:eastAsia="Garamond" w:hAnsi="Garamond" w:cs="Garamond"/>
          <w:sz w:val="23"/>
          <w:szCs w:val="23"/>
        </w:rPr>
        <w:t xml:space="preserve"> o nome dos seus patronos </w:t>
      </w:r>
      <w:r>
        <w:rPr>
          <w:rFonts w:ascii="Garamond" w:eastAsia="Garamond" w:hAnsi="Garamond" w:cs="Garamond"/>
          <w:b/>
          <w:smallCaps/>
          <w:color w:val="000000"/>
          <w:sz w:val="23"/>
          <w:szCs w:val="23"/>
        </w:rPr>
        <w:t xml:space="preserve">Liz Werner Formaggini, </w:t>
      </w:r>
      <w:r>
        <w:rPr>
          <w:rFonts w:ascii="Garamond" w:eastAsia="Garamond" w:hAnsi="Garamond" w:cs="Garamond"/>
          <w:color w:val="000000"/>
          <w:sz w:val="23"/>
          <w:szCs w:val="23"/>
        </w:rPr>
        <w:t>brasileira, solteira, advogada, inscrita na OAB/RJ sob o nº 184.888</w:t>
      </w:r>
      <w:r>
        <w:rPr>
          <w:rFonts w:ascii="Garamond" w:eastAsia="Garamond" w:hAnsi="Garamond" w:cs="Garamond"/>
          <w:smallCaps/>
          <w:color w:val="000000"/>
          <w:sz w:val="23"/>
          <w:szCs w:val="23"/>
        </w:rPr>
        <w:t xml:space="preserve"> </w:t>
      </w:r>
      <w:r>
        <w:rPr>
          <w:rFonts w:ascii="Garamond" w:eastAsia="Garamond" w:hAnsi="Garamond" w:cs="Garamond"/>
          <w:b/>
          <w:smallCaps/>
          <w:color w:val="000000"/>
          <w:sz w:val="23"/>
          <w:szCs w:val="23"/>
        </w:rPr>
        <w:t xml:space="preserve">Thiago José Aguiar da Silva, </w:t>
      </w:r>
      <w:r>
        <w:rPr>
          <w:rFonts w:ascii="Garamond" w:eastAsia="Garamond" w:hAnsi="Garamond" w:cs="Garamond"/>
          <w:color w:val="000000"/>
          <w:sz w:val="23"/>
          <w:szCs w:val="23"/>
        </w:rPr>
        <w:t>brasileiro, solteiro, advogado, inscrito na OAB/RJ nº 213.181 e</w:t>
      </w:r>
      <w:r>
        <w:rPr>
          <w:rFonts w:ascii="Garamond" w:eastAsia="Garamond" w:hAnsi="Garamond" w:cs="Garamond"/>
          <w:b/>
          <w:smallCaps/>
          <w:color w:val="000000"/>
          <w:sz w:val="23"/>
          <w:szCs w:val="23"/>
        </w:rPr>
        <w:t xml:space="preserve"> Lucio Masullo</w:t>
      </w:r>
      <w:r>
        <w:rPr>
          <w:rFonts w:ascii="Garamond" w:eastAsia="Garamond" w:hAnsi="Garamond" w:cs="Garamond"/>
          <w:color w:val="000000"/>
          <w:sz w:val="23"/>
          <w:szCs w:val="23"/>
        </w:rPr>
        <w:t>, brasileiro, casado, advogado, inscrito na OAB/RJ nº 82.064, com endereço profissional na Rua Visconde do Rio Branco, 305, sala 606, Centro, Niterói-RJ, CEP: 24.020-002</w:t>
      </w:r>
      <w:r>
        <w:rPr>
          <w:rFonts w:ascii="Garamond" w:eastAsia="Garamond" w:hAnsi="Garamond" w:cs="Garamond"/>
          <w:sz w:val="23"/>
          <w:szCs w:val="23"/>
        </w:rPr>
        <w:t xml:space="preserve">, tratando-se a </w:t>
      </w:r>
      <w:r>
        <w:rPr>
          <w:rFonts w:ascii="Garamond" w:eastAsia="Garamond" w:hAnsi="Garamond" w:cs="Garamond"/>
          <w:b/>
          <w:sz w:val="23"/>
          <w:szCs w:val="23"/>
          <w:u w:val="single"/>
        </w:rPr>
        <w:t>agravada</w:t>
      </w:r>
      <w:r>
        <w:rPr>
          <w:rFonts w:ascii="Garamond" w:eastAsia="Garamond" w:hAnsi="Garamond" w:cs="Garamond"/>
          <w:sz w:val="23"/>
          <w:szCs w:val="23"/>
        </w:rPr>
        <w:t xml:space="preserve"> da Procuradoria Geral do Estado, não constando procuração nos autos, com endereço à R. do Carmo, 27 - Centro, Rio de Janeiro - RJ, 20011-020. </w:t>
      </w:r>
    </w:p>
    <w:p w14:paraId="0B973B25" w14:textId="77777777" w:rsidR="00AB1F4B" w:rsidRDefault="00AB1F4B">
      <w:pPr>
        <w:ind w:firstLine="1134"/>
        <w:jc w:val="both"/>
        <w:rPr>
          <w:rFonts w:ascii="Garamond" w:eastAsia="Garamond" w:hAnsi="Garamond" w:cs="Garamond"/>
          <w:sz w:val="23"/>
          <w:szCs w:val="23"/>
        </w:rPr>
      </w:pPr>
    </w:p>
    <w:p w14:paraId="43C4A141" w14:textId="77777777" w:rsidR="00AB1F4B" w:rsidRDefault="00000000">
      <w:pPr>
        <w:spacing w:line="360" w:lineRule="auto"/>
        <w:jc w:val="center"/>
        <w:rPr>
          <w:rFonts w:ascii="Garamond" w:eastAsia="Garamond" w:hAnsi="Garamond" w:cs="Garamond"/>
          <w:sz w:val="23"/>
          <w:szCs w:val="23"/>
        </w:rPr>
      </w:pPr>
      <w:r>
        <w:rPr>
          <w:rFonts w:ascii="Garamond" w:eastAsia="Garamond" w:hAnsi="Garamond" w:cs="Garamond"/>
          <w:sz w:val="23"/>
          <w:szCs w:val="23"/>
        </w:rPr>
        <w:t>Nestes termos, pede deferimento.</w:t>
      </w:r>
    </w:p>
    <w:p w14:paraId="696B17E6" w14:textId="2F9A64AF" w:rsidR="00AB1F4B" w:rsidRDefault="00000000">
      <w:pPr>
        <w:spacing w:line="360" w:lineRule="auto"/>
        <w:jc w:val="center"/>
        <w:rPr>
          <w:rFonts w:ascii="Garamond" w:eastAsia="Garamond" w:hAnsi="Garamond" w:cs="Garamond"/>
          <w:sz w:val="23"/>
          <w:szCs w:val="23"/>
        </w:rPr>
      </w:pPr>
      <w:r>
        <w:rPr>
          <w:rFonts w:ascii="Garamond" w:eastAsia="Garamond" w:hAnsi="Garamond" w:cs="Garamond"/>
          <w:sz w:val="23"/>
          <w:szCs w:val="23"/>
        </w:rPr>
        <w:t xml:space="preserve">Niterói. </w:t>
      </w:r>
      <w:r w:rsidR="00A43437">
        <w:rPr>
          <w:rFonts w:ascii="Garamond" w:eastAsia="Garamond" w:hAnsi="Garamond" w:cs="Garamond"/>
          <w:sz w:val="23"/>
          <w:szCs w:val="23"/>
        </w:rPr>
        <w:t>24 de janeiro de 2024</w:t>
      </w:r>
      <w:r>
        <w:rPr>
          <w:rFonts w:ascii="Garamond" w:eastAsia="Garamond" w:hAnsi="Garamond" w:cs="Garamond"/>
          <w:sz w:val="23"/>
          <w:szCs w:val="23"/>
        </w:rPr>
        <w:t>.</w:t>
      </w:r>
    </w:p>
    <w:p w14:paraId="4C80B1DD" w14:textId="77777777" w:rsidR="00AB1F4B" w:rsidRDefault="00AB1F4B">
      <w:pPr>
        <w:jc w:val="center"/>
        <w:rPr>
          <w:rFonts w:ascii="Garamond" w:eastAsia="Garamond" w:hAnsi="Garamond" w:cs="Garamond"/>
          <w:sz w:val="23"/>
          <w:szCs w:val="23"/>
        </w:rPr>
      </w:pPr>
    </w:p>
    <w:p w14:paraId="003446ED" w14:textId="77777777" w:rsidR="00AB1F4B" w:rsidRDefault="00AB1F4B">
      <w:pPr>
        <w:jc w:val="center"/>
        <w:rPr>
          <w:rFonts w:ascii="Garamond" w:eastAsia="Garamond" w:hAnsi="Garamond" w:cs="Garamond"/>
          <w:sz w:val="23"/>
          <w:szCs w:val="23"/>
        </w:rPr>
      </w:pPr>
    </w:p>
    <w:p w14:paraId="7091AB31" w14:textId="77777777" w:rsidR="00AB1F4B" w:rsidRDefault="00AB1F4B">
      <w:pPr>
        <w:spacing w:line="360" w:lineRule="auto"/>
        <w:jc w:val="center"/>
        <w:rPr>
          <w:rFonts w:ascii="Garamond" w:eastAsia="Garamond" w:hAnsi="Garamond" w:cs="Garamond"/>
          <w:sz w:val="23"/>
          <w:szCs w:val="23"/>
        </w:rPr>
      </w:pPr>
    </w:p>
    <w:tbl>
      <w:tblPr>
        <w:tblStyle w:val="af0"/>
        <w:tblW w:w="9628" w:type="dxa"/>
        <w:tblBorders>
          <w:top w:val="nil"/>
          <w:left w:val="nil"/>
          <w:bottom w:val="nil"/>
          <w:right w:val="nil"/>
          <w:insideH w:val="nil"/>
          <w:insideV w:val="nil"/>
        </w:tblBorders>
        <w:tblLayout w:type="fixed"/>
        <w:tblLook w:val="0400" w:firstRow="0" w:lastRow="0" w:firstColumn="0" w:lastColumn="0" w:noHBand="0" w:noVBand="1"/>
      </w:tblPr>
      <w:tblGrid>
        <w:gridCol w:w="3209"/>
        <w:gridCol w:w="3209"/>
        <w:gridCol w:w="3210"/>
      </w:tblGrid>
      <w:tr w:rsidR="00AB1F4B" w14:paraId="6F30F961" w14:textId="77777777">
        <w:tc>
          <w:tcPr>
            <w:tcW w:w="3209" w:type="dxa"/>
          </w:tcPr>
          <w:p w14:paraId="1F616061" w14:textId="77777777" w:rsidR="00AB1F4B" w:rsidRDefault="00000000">
            <w:pPr>
              <w:jc w:val="center"/>
              <w:rPr>
                <w:rFonts w:ascii="Garamond" w:eastAsia="Garamond" w:hAnsi="Garamond" w:cs="Garamond"/>
                <w:b/>
                <w:smallCaps/>
                <w:color w:val="000000"/>
                <w:sz w:val="23"/>
                <w:szCs w:val="23"/>
              </w:rPr>
            </w:pPr>
            <w:r>
              <w:rPr>
                <w:rFonts w:ascii="Garamond" w:eastAsia="Garamond" w:hAnsi="Garamond" w:cs="Garamond"/>
                <w:b/>
                <w:smallCaps/>
                <w:color w:val="000000"/>
                <w:sz w:val="23"/>
                <w:szCs w:val="23"/>
              </w:rPr>
              <w:t>Liz Werner</w:t>
            </w:r>
          </w:p>
          <w:p w14:paraId="75BB288D" w14:textId="77777777" w:rsidR="00AB1F4B" w:rsidRDefault="00000000">
            <w:pPr>
              <w:jc w:val="center"/>
              <w:rPr>
                <w:rFonts w:ascii="Garamond" w:eastAsia="Garamond" w:hAnsi="Garamond" w:cs="Garamond"/>
                <w:sz w:val="23"/>
                <w:szCs w:val="23"/>
              </w:rPr>
            </w:pPr>
            <w:r>
              <w:rPr>
                <w:rFonts w:ascii="Garamond" w:eastAsia="Garamond" w:hAnsi="Garamond" w:cs="Garamond"/>
                <w:b/>
                <w:sz w:val="23"/>
                <w:szCs w:val="23"/>
              </w:rPr>
              <w:t>OAB/RJ 184.888</w:t>
            </w:r>
          </w:p>
        </w:tc>
        <w:tc>
          <w:tcPr>
            <w:tcW w:w="3209" w:type="dxa"/>
          </w:tcPr>
          <w:p w14:paraId="280F95B8" w14:textId="77777777" w:rsidR="00AB1F4B" w:rsidRDefault="00000000">
            <w:pPr>
              <w:jc w:val="center"/>
              <w:rPr>
                <w:rFonts w:ascii="Garamond" w:eastAsia="Garamond" w:hAnsi="Garamond" w:cs="Garamond"/>
                <w:b/>
                <w:smallCaps/>
                <w:color w:val="000000"/>
                <w:sz w:val="23"/>
                <w:szCs w:val="23"/>
              </w:rPr>
            </w:pPr>
            <w:r>
              <w:rPr>
                <w:rFonts w:ascii="Garamond" w:eastAsia="Garamond" w:hAnsi="Garamond" w:cs="Garamond"/>
                <w:b/>
                <w:smallCaps/>
                <w:color w:val="000000"/>
                <w:sz w:val="23"/>
                <w:szCs w:val="23"/>
              </w:rPr>
              <w:t>Thiago José Aguiar</w:t>
            </w:r>
          </w:p>
          <w:p w14:paraId="78EF8E47" w14:textId="77777777" w:rsidR="00AB1F4B" w:rsidRDefault="00000000">
            <w:pPr>
              <w:jc w:val="center"/>
              <w:rPr>
                <w:rFonts w:ascii="Garamond" w:eastAsia="Garamond" w:hAnsi="Garamond" w:cs="Garamond"/>
                <w:b/>
                <w:smallCaps/>
                <w:color w:val="000000"/>
                <w:sz w:val="23"/>
                <w:szCs w:val="23"/>
              </w:rPr>
            </w:pPr>
            <w:r>
              <w:rPr>
                <w:rFonts w:ascii="Garamond" w:eastAsia="Garamond" w:hAnsi="Garamond" w:cs="Garamond"/>
                <w:b/>
                <w:smallCaps/>
                <w:color w:val="000000"/>
                <w:sz w:val="23"/>
                <w:szCs w:val="23"/>
              </w:rPr>
              <w:t>OAB/RJ 213.181</w:t>
            </w:r>
          </w:p>
        </w:tc>
        <w:tc>
          <w:tcPr>
            <w:tcW w:w="3210" w:type="dxa"/>
          </w:tcPr>
          <w:p w14:paraId="19324337" w14:textId="77777777" w:rsidR="00AB1F4B" w:rsidRDefault="00000000">
            <w:pPr>
              <w:jc w:val="center"/>
              <w:rPr>
                <w:rFonts w:ascii="Garamond" w:eastAsia="Garamond" w:hAnsi="Garamond" w:cs="Garamond"/>
                <w:b/>
                <w:smallCaps/>
                <w:color w:val="000000"/>
                <w:sz w:val="23"/>
                <w:szCs w:val="23"/>
              </w:rPr>
            </w:pPr>
            <w:r>
              <w:rPr>
                <w:rFonts w:ascii="Garamond" w:eastAsia="Garamond" w:hAnsi="Garamond" w:cs="Garamond"/>
                <w:b/>
                <w:smallCaps/>
                <w:color w:val="000000"/>
                <w:sz w:val="23"/>
                <w:szCs w:val="23"/>
              </w:rPr>
              <w:t>Lucio Masullo</w:t>
            </w:r>
          </w:p>
          <w:p w14:paraId="38494D8D" w14:textId="77777777" w:rsidR="00AB1F4B" w:rsidRDefault="00000000">
            <w:pPr>
              <w:jc w:val="center"/>
              <w:rPr>
                <w:rFonts w:ascii="Garamond" w:eastAsia="Garamond" w:hAnsi="Garamond" w:cs="Garamond"/>
                <w:sz w:val="23"/>
                <w:szCs w:val="23"/>
              </w:rPr>
            </w:pPr>
            <w:r>
              <w:rPr>
                <w:rFonts w:ascii="Garamond" w:eastAsia="Garamond" w:hAnsi="Garamond" w:cs="Garamond"/>
                <w:b/>
                <w:smallCaps/>
                <w:color w:val="000000"/>
                <w:sz w:val="23"/>
                <w:szCs w:val="23"/>
              </w:rPr>
              <w:t>OAB/RJ 82.064</w:t>
            </w:r>
          </w:p>
        </w:tc>
      </w:tr>
    </w:tbl>
    <w:p w14:paraId="44DBF24D" w14:textId="77777777" w:rsidR="00AB1F4B" w:rsidRDefault="00AB1F4B">
      <w:pPr>
        <w:spacing w:line="360" w:lineRule="auto"/>
        <w:rPr>
          <w:rFonts w:ascii="Garamond" w:eastAsia="Garamond" w:hAnsi="Garamond" w:cs="Garamond"/>
          <w:sz w:val="23"/>
          <w:szCs w:val="23"/>
        </w:rPr>
      </w:pPr>
    </w:p>
    <w:p w14:paraId="44EB5BC0" w14:textId="77777777" w:rsidR="00AB1F4B" w:rsidRDefault="00000000">
      <w:pPr>
        <w:rPr>
          <w:rFonts w:ascii="Garamond" w:eastAsia="Garamond" w:hAnsi="Garamond" w:cs="Garamond"/>
          <w:sz w:val="23"/>
          <w:szCs w:val="23"/>
        </w:rPr>
      </w:pPr>
      <w:r>
        <w:br w:type="page"/>
      </w:r>
    </w:p>
    <w:p w14:paraId="142B9E2F" w14:textId="77777777" w:rsidR="00AB1F4B" w:rsidRDefault="00AB1F4B">
      <w:pPr>
        <w:spacing w:line="360" w:lineRule="auto"/>
        <w:jc w:val="both"/>
        <w:rPr>
          <w:rFonts w:ascii="Garamond" w:eastAsia="Garamond" w:hAnsi="Garamond" w:cs="Garamond"/>
          <w:b/>
          <w:sz w:val="23"/>
          <w:szCs w:val="23"/>
        </w:rPr>
      </w:pPr>
    </w:p>
    <w:p w14:paraId="686024D9" w14:textId="77777777" w:rsidR="00AB1F4B" w:rsidRDefault="00000000">
      <w:pPr>
        <w:spacing w:line="360" w:lineRule="auto"/>
        <w:jc w:val="both"/>
        <w:rPr>
          <w:rFonts w:ascii="Garamond" w:eastAsia="Garamond" w:hAnsi="Garamond" w:cs="Garamond"/>
          <w:b/>
          <w:sz w:val="23"/>
          <w:szCs w:val="23"/>
        </w:rPr>
      </w:pPr>
      <w:r>
        <w:rPr>
          <w:rFonts w:ascii="Garamond" w:eastAsia="Garamond" w:hAnsi="Garamond" w:cs="Garamond"/>
          <w:b/>
          <w:sz w:val="23"/>
          <w:szCs w:val="23"/>
        </w:rPr>
        <w:t xml:space="preserve">EGRÉGIO TRIBUNAL, </w:t>
      </w:r>
    </w:p>
    <w:p w14:paraId="4B728660" w14:textId="77777777" w:rsidR="00AB1F4B" w:rsidRDefault="00000000">
      <w:pPr>
        <w:spacing w:line="360" w:lineRule="auto"/>
        <w:jc w:val="both"/>
        <w:rPr>
          <w:rFonts w:ascii="Garamond" w:eastAsia="Garamond" w:hAnsi="Garamond" w:cs="Garamond"/>
          <w:b/>
          <w:sz w:val="23"/>
          <w:szCs w:val="23"/>
        </w:rPr>
      </w:pPr>
      <w:r>
        <w:rPr>
          <w:rFonts w:ascii="Garamond" w:eastAsia="Garamond" w:hAnsi="Garamond" w:cs="Garamond"/>
          <w:b/>
          <w:sz w:val="23"/>
          <w:szCs w:val="23"/>
        </w:rPr>
        <w:t xml:space="preserve">EMÉRITOS JULGADORES. </w:t>
      </w:r>
    </w:p>
    <w:p w14:paraId="36E95036" w14:textId="285C2AED" w:rsidR="006F6E9E" w:rsidRPr="006F6E9E" w:rsidRDefault="00000000" w:rsidP="006F6E9E">
      <w:pPr>
        <w:spacing w:line="360" w:lineRule="auto"/>
        <w:jc w:val="both"/>
        <w:rPr>
          <w:rFonts w:ascii="Garamond" w:eastAsia="Garamond" w:hAnsi="Garamond" w:cs="Garamond"/>
          <w:color w:val="000000"/>
          <w:sz w:val="23"/>
          <w:szCs w:val="23"/>
        </w:rPr>
      </w:pPr>
      <w:r w:rsidRPr="006F6E9E">
        <w:rPr>
          <w:rFonts w:ascii="Garamond" w:eastAsia="Garamond" w:hAnsi="Garamond" w:cs="Garamond"/>
          <w:sz w:val="23"/>
          <w:szCs w:val="23"/>
        </w:rPr>
        <w:t xml:space="preserve"> </w:t>
      </w:r>
    </w:p>
    <w:p w14:paraId="205B1105" w14:textId="77777777" w:rsidR="006F6E9E" w:rsidRPr="006F6E9E" w:rsidRDefault="006F6E9E" w:rsidP="006F6E9E">
      <w:pPr>
        <w:spacing w:line="360" w:lineRule="auto"/>
        <w:ind w:firstLine="567"/>
        <w:jc w:val="both"/>
        <w:rPr>
          <w:rFonts w:ascii="Garamond" w:eastAsia="Cambria" w:hAnsi="Garamond" w:cs="Cambria"/>
          <w:sz w:val="23"/>
          <w:szCs w:val="23"/>
        </w:rPr>
      </w:pPr>
      <w:r w:rsidRPr="006F6E9E">
        <w:rPr>
          <w:rFonts w:ascii="Garamond" w:eastAsia="Cambria" w:hAnsi="Garamond" w:cs="Cambria"/>
          <w:sz w:val="23"/>
          <w:szCs w:val="23"/>
        </w:rPr>
        <w:t xml:space="preserve">A presente demanda trata da liquidação da obrigação constante da decisão coletiva proferida nos autos da Ação Coletiva que tramita perante a 8ª Vara da Fazenda Pública da Comarca da Capital do Estado do Rio de Janeiro. Ação cuja parte autora foi o Sindicato Estadual dos Profissionais de Educação do Estado do Rio de Janeiro – SEPE, </w:t>
      </w:r>
      <w:r w:rsidRPr="006F6E9E">
        <w:rPr>
          <w:rFonts w:ascii="Garamond" w:eastAsia="Cambria" w:hAnsi="Garamond" w:cs="Cambria"/>
          <w:sz w:val="23"/>
          <w:szCs w:val="23"/>
          <w:u w:val="single"/>
        </w:rPr>
        <w:t>como substituto processual de todos os professores que se enquadram no objeto da ação</w:t>
      </w:r>
      <w:r w:rsidRPr="006F6E9E">
        <w:rPr>
          <w:rFonts w:ascii="Garamond" w:eastAsia="Cambria" w:hAnsi="Garamond" w:cs="Cambria"/>
          <w:sz w:val="23"/>
          <w:szCs w:val="23"/>
        </w:rPr>
        <w:t>, em face do Estado do Rio de Janeiro (Processo nº.0138093-28.2006.8.19.0001).</w:t>
      </w:r>
    </w:p>
    <w:p w14:paraId="60A8A9A8" w14:textId="77777777" w:rsidR="006F6E9E" w:rsidRPr="006F6E9E" w:rsidRDefault="006F6E9E" w:rsidP="006F6E9E">
      <w:pPr>
        <w:ind w:firstLine="567"/>
        <w:jc w:val="both"/>
        <w:rPr>
          <w:rFonts w:ascii="Garamond" w:eastAsia="Cambria" w:hAnsi="Garamond" w:cs="Cambria"/>
          <w:sz w:val="23"/>
          <w:szCs w:val="23"/>
        </w:rPr>
      </w:pPr>
    </w:p>
    <w:p w14:paraId="41817EC1" w14:textId="77777777" w:rsidR="006F6E9E" w:rsidRPr="006F6E9E" w:rsidRDefault="006F6E9E" w:rsidP="006F6E9E">
      <w:pPr>
        <w:spacing w:line="360" w:lineRule="auto"/>
        <w:ind w:firstLine="567"/>
        <w:jc w:val="both"/>
        <w:rPr>
          <w:rFonts w:ascii="Garamond" w:eastAsia="Cambria" w:hAnsi="Garamond" w:cs="Cambria"/>
          <w:sz w:val="23"/>
          <w:szCs w:val="23"/>
        </w:rPr>
      </w:pPr>
      <w:r w:rsidRPr="006F6E9E">
        <w:rPr>
          <w:rFonts w:ascii="Garamond" w:eastAsia="Cambria" w:hAnsi="Garamond" w:cs="Cambria"/>
          <w:sz w:val="23"/>
          <w:szCs w:val="23"/>
        </w:rPr>
        <w:t xml:space="preserve">A Ação coletiva trata da </w:t>
      </w:r>
      <w:r w:rsidRPr="006F6E9E">
        <w:rPr>
          <w:rFonts w:ascii="Garamond" w:eastAsia="Cambria" w:hAnsi="Garamond" w:cs="Cambria"/>
          <w:b/>
          <w:sz w:val="23"/>
          <w:szCs w:val="23"/>
        </w:rPr>
        <w:t>Gratificação Nova Escola</w:t>
      </w:r>
      <w:r w:rsidRPr="006F6E9E">
        <w:rPr>
          <w:rFonts w:ascii="Garamond" w:eastAsia="Cambria" w:hAnsi="Garamond" w:cs="Cambria"/>
          <w:sz w:val="23"/>
          <w:szCs w:val="23"/>
        </w:rPr>
        <w:t xml:space="preserve">, prevista no Decreto nº. 25.959/2000, do ano de 2002 que deveria ter sido paga no ano de 2003 e não foi. A Ação foi julgada procedente, determinando que o Estado procedesse com as avaliações e posteriormente com o pagamento das referias gratificações, </w:t>
      </w:r>
      <w:r w:rsidRPr="006F6E9E">
        <w:rPr>
          <w:rFonts w:ascii="Garamond" w:eastAsia="Cambria" w:hAnsi="Garamond" w:cs="Cambria"/>
          <w:i/>
          <w:sz w:val="23"/>
          <w:szCs w:val="23"/>
        </w:rPr>
        <w:t>in verbis</w:t>
      </w:r>
      <w:r w:rsidRPr="006F6E9E">
        <w:rPr>
          <w:rFonts w:ascii="Garamond" w:eastAsia="Cambria" w:hAnsi="Garamond" w:cs="Cambria"/>
          <w:sz w:val="23"/>
          <w:szCs w:val="23"/>
        </w:rPr>
        <w:t>:</w:t>
      </w:r>
    </w:p>
    <w:p w14:paraId="1FE87B19" w14:textId="77777777" w:rsidR="006F6E9E" w:rsidRPr="006F6E9E" w:rsidRDefault="006F6E9E" w:rsidP="006F6E9E">
      <w:pPr>
        <w:jc w:val="both"/>
        <w:rPr>
          <w:rFonts w:ascii="Garamond" w:eastAsia="Cambria" w:hAnsi="Garamond" w:cs="Cambria"/>
          <w:sz w:val="23"/>
          <w:szCs w:val="23"/>
        </w:rPr>
      </w:pPr>
    </w:p>
    <w:p w14:paraId="34C71E69" w14:textId="77777777" w:rsidR="006F6E9E" w:rsidRPr="006F6E9E" w:rsidRDefault="006F6E9E" w:rsidP="006F6E9E">
      <w:pPr>
        <w:ind w:left="2268"/>
        <w:jc w:val="both"/>
        <w:rPr>
          <w:rFonts w:ascii="Garamond" w:eastAsia="Cambria" w:hAnsi="Garamond" w:cs="Cambria"/>
          <w:sz w:val="23"/>
          <w:szCs w:val="23"/>
        </w:rPr>
      </w:pPr>
      <w:r w:rsidRPr="006F6E9E">
        <w:rPr>
          <w:rFonts w:ascii="Garamond" w:eastAsia="Cambria" w:hAnsi="Garamond" w:cs="Cambria"/>
          <w:sz w:val="23"/>
          <w:szCs w:val="23"/>
        </w:rPr>
        <w:t>“Isto posto, JULGO PROCEDENTE o pedido, extinguindo o feito com julgamento de mérito na forma do artigo 269, inciso I do CPC, e determinando ao réu o cumprimento das avaliações das unidades escolares da rede estadual de ensino com pagamento da gratificação devida aos professores e relativas ao ano de 2002, com correção e juros de 6% ao ano e contados da citação. Honorários pela parte ré, no valor de R$ 400,00 na forma do artigo 20 §4º do CPC. Cumpra-se o duplo grau obrigatório”.</w:t>
      </w:r>
    </w:p>
    <w:p w14:paraId="55E6820D" w14:textId="77777777" w:rsidR="006F6E9E" w:rsidRPr="006F6E9E" w:rsidRDefault="006F6E9E" w:rsidP="006F6E9E">
      <w:pPr>
        <w:ind w:left="2268"/>
        <w:jc w:val="both"/>
        <w:rPr>
          <w:rFonts w:ascii="Garamond" w:eastAsia="Cambria" w:hAnsi="Garamond" w:cs="Cambria"/>
          <w:sz w:val="23"/>
          <w:szCs w:val="23"/>
        </w:rPr>
      </w:pPr>
    </w:p>
    <w:p w14:paraId="071819BF" w14:textId="77777777" w:rsidR="006F6E9E" w:rsidRPr="006F6E9E" w:rsidRDefault="006F6E9E" w:rsidP="006F6E9E">
      <w:pPr>
        <w:spacing w:line="360" w:lineRule="auto"/>
        <w:ind w:firstLine="567"/>
        <w:jc w:val="both"/>
        <w:rPr>
          <w:rFonts w:ascii="Garamond" w:eastAsia="Cambria" w:hAnsi="Garamond" w:cs="Cambria"/>
          <w:sz w:val="23"/>
          <w:szCs w:val="23"/>
        </w:rPr>
      </w:pPr>
      <w:r w:rsidRPr="006F6E9E">
        <w:rPr>
          <w:rFonts w:ascii="Garamond" w:eastAsia="Cambria" w:hAnsi="Garamond" w:cs="Cambria"/>
          <w:sz w:val="23"/>
          <w:szCs w:val="23"/>
        </w:rPr>
        <w:t xml:space="preserve">A Sentença transitou em julgado em 14/10/2011 e em decisão de 20/08/2019 foi determinada a necessidade de cada beneficiário entrar com execução individual </w:t>
      </w:r>
      <w:r w:rsidRPr="006F6E9E">
        <w:rPr>
          <w:rFonts w:ascii="Garamond" w:eastAsia="Cambria" w:hAnsi="Garamond" w:cs="Cambria"/>
          <w:b/>
          <w:sz w:val="23"/>
          <w:szCs w:val="23"/>
          <w:u w:val="single"/>
        </w:rPr>
        <w:t>de livre distribuição</w:t>
      </w:r>
      <w:r w:rsidRPr="006F6E9E">
        <w:rPr>
          <w:rFonts w:ascii="Garamond" w:eastAsia="Cambria" w:hAnsi="Garamond" w:cs="Cambria"/>
          <w:sz w:val="23"/>
          <w:szCs w:val="23"/>
        </w:rPr>
        <w:t>.</w:t>
      </w:r>
    </w:p>
    <w:p w14:paraId="42A072E1" w14:textId="77777777" w:rsidR="006F6E9E" w:rsidRPr="006F6E9E" w:rsidRDefault="006F6E9E" w:rsidP="006F6E9E">
      <w:pPr>
        <w:ind w:firstLine="567"/>
        <w:jc w:val="both"/>
        <w:rPr>
          <w:rFonts w:ascii="Garamond" w:eastAsia="Cambria" w:hAnsi="Garamond" w:cs="Cambria"/>
          <w:sz w:val="23"/>
          <w:szCs w:val="23"/>
        </w:rPr>
      </w:pPr>
    </w:p>
    <w:p w14:paraId="0BA7C68E" w14:textId="5B21BB7D" w:rsidR="006F6E9E" w:rsidRPr="006F6E9E" w:rsidRDefault="006F6E9E" w:rsidP="006F6E9E">
      <w:pPr>
        <w:spacing w:line="312" w:lineRule="auto"/>
        <w:ind w:firstLine="567"/>
        <w:jc w:val="both"/>
        <w:rPr>
          <w:rFonts w:ascii="Garamond" w:eastAsia="Cambria" w:hAnsi="Garamond" w:cs="Cambria"/>
          <w:sz w:val="23"/>
          <w:szCs w:val="23"/>
        </w:rPr>
      </w:pPr>
      <w:r w:rsidRPr="006F6E9E">
        <w:rPr>
          <w:rFonts w:ascii="Garamond" w:eastAsia="Cambria" w:hAnsi="Garamond" w:cs="Cambria"/>
          <w:sz w:val="23"/>
          <w:szCs w:val="23"/>
        </w:rPr>
        <w:t>O cumprimento individual de sentença foi distribuído, o Estado foi intimado a se manifestar, apresentou impugnação e a Agravada apresentou resposta a impugnação</w:t>
      </w:r>
      <w:r>
        <w:rPr>
          <w:rFonts w:ascii="Garamond" w:eastAsia="Cambria" w:hAnsi="Garamond" w:cs="Cambria"/>
          <w:sz w:val="23"/>
          <w:szCs w:val="23"/>
        </w:rPr>
        <w:t xml:space="preserve">. Em Decisão, que é agora agravada, o juízo </w:t>
      </w:r>
      <w:r>
        <w:rPr>
          <w:rFonts w:ascii="Garamond" w:eastAsia="Cambria" w:hAnsi="Garamond" w:cs="Cambria"/>
          <w:i/>
          <w:iCs/>
          <w:sz w:val="23"/>
          <w:szCs w:val="23"/>
        </w:rPr>
        <w:t>a quo</w:t>
      </w:r>
      <w:r>
        <w:rPr>
          <w:rFonts w:ascii="Garamond" w:eastAsia="Cambria" w:hAnsi="Garamond" w:cs="Cambria"/>
          <w:sz w:val="23"/>
          <w:szCs w:val="23"/>
        </w:rPr>
        <w:t xml:space="preserve"> determinou que fossem aplicadas as avaliações do ano de 2003 ao invés das do ano de 2001, conforme já determinado pelo Tribunal de Justiça do Estado do Rio de Janeiro tanto na antiga Câmara preventa como na atual, além de ter se omitido quanto a aplicação dos honorários advocatícios, conforme será abaixo explanado.</w:t>
      </w:r>
    </w:p>
    <w:p w14:paraId="3E78FC9E" w14:textId="77777777" w:rsidR="006F6E9E" w:rsidRDefault="006F6E9E" w:rsidP="006F6E9E">
      <w:pPr>
        <w:jc w:val="both"/>
        <w:rPr>
          <w:rFonts w:ascii="Cambria" w:eastAsia="Cambria" w:hAnsi="Cambria" w:cs="Cambria"/>
        </w:rPr>
      </w:pPr>
    </w:p>
    <w:p w14:paraId="42801ABB" w14:textId="2A9A3B86" w:rsidR="006F6E9E" w:rsidRDefault="006F6E9E" w:rsidP="006F6E9E">
      <w:pPr>
        <w:spacing w:line="312" w:lineRule="auto"/>
        <w:jc w:val="center"/>
        <w:rPr>
          <w:rFonts w:ascii="Cambria" w:eastAsia="Cambria" w:hAnsi="Cambria" w:cs="Cambria"/>
          <w:b/>
        </w:rPr>
      </w:pPr>
      <w:r>
        <w:rPr>
          <w:rFonts w:ascii="Cambria" w:eastAsia="Cambria" w:hAnsi="Cambria" w:cs="Cambria"/>
          <w:b/>
        </w:rPr>
        <w:t>DAS RAZÕES DO RECURSO</w:t>
      </w:r>
    </w:p>
    <w:p w14:paraId="6EAEE0E1" w14:textId="14490AA1" w:rsidR="006F6E9E" w:rsidRDefault="006F6E9E" w:rsidP="006F6E9E">
      <w:pPr>
        <w:spacing w:line="312" w:lineRule="auto"/>
        <w:jc w:val="center"/>
        <w:rPr>
          <w:rFonts w:ascii="Cambria" w:eastAsia="Cambria" w:hAnsi="Cambria" w:cs="Cambria"/>
          <w:b/>
        </w:rPr>
      </w:pPr>
      <w:r>
        <w:rPr>
          <w:rFonts w:ascii="Cambria" w:eastAsia="Cambria" w:hAnsi="Cambria" w:cs="Cambria"/>
          <w:b/>
        </w:rPr>
        <w:t>- Do ano a ser utilizada a Avaliação -</w:t>
      </w:r>
    </w:p>
    <w:p w14:paraId="1938C8C4" w14:textId="77777777" w:rsidR="006F6E9E" w:rsidRDefault="006F6E9E" w:rsidP="006F6E9E">
      <w:pPr>
        <w:pBdr>
          <w:top w:val="nil"/>
          <w:left w:val="nil"/>
          <w:bottom w:val="nil"/>
          <w:right w:val="nil"/>
          <w:between w:val="nil"/>
        </w:pBdr>
        <w:tabs>
          <w:tab w:val="left" w:pos="0"/>
        </w:tabs>
        <w:ind w:firstLine="1260"/>
        <w:jc w:val="both"/>
        <w:rPr>
          <w:rFonts w:ascii="Garamond" w:eastAsia="Garamond" w:hAnsi="Garamond" w:cs="Garamond"/>
          <w:color w:val="000000"/>
          <w:sz w:val="23"/>
          <w:szCs w:val="23"/>
        </w:rPr>
      </w:pPr>
    </w:p>
    <w:p w14:paraId="48FE9E94" w14:textId="3EDBB3B0" w:rsidR="006F6E9E" w:rsidRPr="006F6E9E" w:rsidRDefault="006F6E9E" w:rsidP="006F6E9E">
      <w:pPr>
        <w:ind w:firstLine="1134"/>
        <w:jc w:val="both"/>
        <w:rPr>
          <w:rFonts w:ascii="Garamond" w:eastAsia="Times New Roman" w:hAnsi="Garamond" w:cs="Times New Roman"/>
          <w:color w:val="000000"/>
          <w:sz w:val="23"/>
          <w:szCs w:val="23"/>
        </w:rPr>
      </w:pPr>
      <w:r>
        <w:rPr>
          <w:rFonts w:ascii="Garamond" w:eastAsia="Times New Roman" w:hAnsi="Garamond" w:cs="Times New Roman"/>
          <w:color w:val="000000"/>
          <w:sz w:val="23"/>
          <w:szCs w:val="23"/>
        </w:rPr>
        <w:t>Q</w:t>
      </w:r>
      <w:r w:rsidRPr="006F6E9E">
        <w:rPr>
          <w:rFonts w:ascii="Garamond" w:eastAsia="Times New Roman" w:hAnsi="Garamond" w:cs="Times New Roman"/>
          <w:color w:val="000000"/>
          <w:sz w:val="23"/>
          <w:szCs w:val="23"/>
        </w:rPr>
        <w:t>uanto ao ano que deve ser aplicado como paradigma, este não possui discussão, a sentença da ação coletiva é precisa e o Ilmo. Desembargador Ricardo Rodrigues Cardozo é claro nesse sentido ao relatar o Agravo de Instrumento nº 0007370-30.2020.8.19.0000, em que o ano que deve ser aplicado é o ano de 2001:</w:t>
      </w:r>
    </w:p>
    <w:p w14:paraId="6B167C97" w14:textId="77777777" w:rsidR="006F6E9E" w:rsidRPr="006F6E9E" w:rsidRDefault="006F6E9E" w:rsidP="006F6E9E">
      <w:pPr>
        <w:ind w:firstLine="1134"/>
        <w:jc w:val="both"/>
        <w:rPr>
          <w:rFonts w:ascii="Garamond" w:eastAsia="Times New Roman" w:hAnsi="Garamond" w:cs="Times New Roman"/>
          <w:color w:val="000000"/>
          <w:sz w:val="23"/>
          <w:szCs w:val="23"/>
        </w:rPr>
      </w:pPr>
    </w:p>
    <w:p w14:paraId="58B68B1D" w14:textId="33E58534" w:rsidR="006F6E9E" w:rsidRPr="006F6E9E" w:rsidRDefault="006F6E9E" w:rsidP="006F6E9E">
      <w:pPr>
        <w:ind w:firstLine="1134"/>
        <w:jc w:val="both"/>
        <w:rPr>
          <w:rFonts w:ascii="Garamond" w:eastAsia="Times New Roman" w:hAnsi="Garamond" w:cs="Times New Roman"/>
          <w:color w:val="000000"/>
          <w:sz w:val="23"/>
          <w:szCs w:val="23"/>
        </w:rPr>
      </w:pPr>
      <w:r w:rsidRPr="006F6E9E">
        <w:rPr>
          <w:noProof/>
          <w:sz w:val="23"/>
          <w:szCs w:val="23"/>
        </w:rPr>
        <w:lastRenderedPageBreak/>
        <w:drawing>
          <wp:inline distT="0" distB="0" distL="0" distR="0" wp14:anchorId="51F54255" wp14:editId="65F2EFC7">
            <wp:extent cx="5686425" cy="2847975"/>
            <wp:effectExtent l="0" t="0" r="9525" b="9525"/>
            <wp:docPr id="7842304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230485" name="Picture 1"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l="37700" t="27197" r="14165" b="29858"/>
                    <a:stretch>
                      <a:fillRect/>
                    </a:stretch>
                  </pic:blipFill>
                  <pic:spPr bwMode="auto">
                    <a:xfrm>
                      <a:off x="0" y="0"/>
                      <a:ext cx="5686425" cy="2847975"/>
                    </a:xfrm>
                    <a:prstGeom prst="rect">
                      <a:avLst/>
                    </a:prstGeom>
                    <a:noFill/>
                    <a:ln>
                      <a:noFill/>
                    </a:ln>
                  </pic:spPr>
                </pic:pic>
              </a:graphicData>
            </a:graphic>
          </wp:inline>
        </w:drawing>
      </w:r>
    </w:p>
    <w:p w14:paraId="6E03C4DA" w14:textId="23B267C2" w:rsidR="006F6E9E" w:rsidRPr="006F6E9E" w:rsidRDefault="006F6E9E" w:rsidP="006F6E9E">
      <w:pPr>
        <w:ind w:firstLine="1134"/>
        <w:jc w:val="both"/>
        <w:rPr>
          <w:rFonts w:ascii="Garamond" w:eastAsia="Times New Roman" w:hAnsi="Garamond" w:cs="Times New Roman"/>
          <w:color w:val="000000"/>
          <w:sz w:val="23"/>
          <w:szCs w:val="23"/>
        </w:rPr>
      </w:pPr>
      <w:r w:rsidRPr="006F6E9E">
        <w:rPr>
          <w:rFonts w:ascii="Garamond" w:eastAsia="Times New Roman" w:hAnsi="Garamond" w:cs="Times New Roman"/>
          <w:color w:val="000000"/>
          <w:sz w:val="23"/>
          <w:szCs w:val="23"/>
        </w:rPr>
        <w:t xml:space="preserve">Questão também analisada pela Décima Quinta Câmara Cível, </w:t>
      </w:r>
      <w:r>
        <w:rPr>
          <w:rFonts w:ascii="Garamond" w:eastAsia="Times New Roman" w:hAnsi="Garamond" w:cs="Times New Roman"/>
          <w:color w:val="000000"/>
          <w:sz w:val="23"/>
          <w:szCs w:val="23"/>
        </w:rPr>
        <w:t xml:space="preserve">antiga </w:t>
      </w:r>
      <w:r w:rsidRPr="006F6E9E">
        <w:rPr>
          <w:rFonts w:ascii="Garamond" w:eastAsia="Times New Roman" w:hAnsi="Garamond" w:cs="Times New Roman"/>
          <w:color w:val="000000"/>
          <w:sz w:val="23"/>
          <w:szCs w:val="23"/>
        </w:rPr>
        <w:t xml:space="preserve">Câmara preventa, Eg Tribunal de Justiça já se manifestou pela utilização dos parâmetros do ano anterior, </w:t>
      </w:r>
      <w:r w:rsidRPr="006F6E9E">
        <w:rPr>
          <w:rFonts w:ascii="Garamond" w:eastAsia="Times New Roman" w:hAnsi="Garamond" w:cs="Times New Roman"/>
          <w:i/>
          <w:color w:val="000000"/>
          <w:sz w:val="23"/>
          <w:szCs w:val="23"/>
        </w:rPr>
        <w:t>in verbis</w:t>
      </w:r>
      <w:r w:rsidRPr="006F6E9E">
        <w:rPr>
          <w:rFonts w:ascii="Garamond" w:eastAsia="Times New Roman" w:hAnsi="Garamond" w:cs="Times New Roman"/>
          <w:color w:val="000000"/>
          <w:sz w:val="23"/>
          <w:szCs w:val="23"/>
        </w:rPr>
        <w:t>:</w:t>
      </w:r>
    </w:p>
    <w:p w14:paraId="21A3DFED" w14:textId="77777777" w:rsidR="006F6E9E" w:rsidRPr="006F6E9E" w:rsidRDefault="006F6E9E" w:rsidP="006F6E9E">
      <w:pPr>
        <w:jc w:val="both"/>
        <w:rPr>
          <w:rFonts w:ascii="Garamond" w:eastAsia="Times New Roman" w:hAnsi="Garamond" w:cs="Times New Roman"/>
          <w:color w:val="000000"/>
          <w:sz w:val="23"/>
          <w:szCs w:val="23"/>
        </w:rPr>
      </w:pPr>
    </w:p>
    <w:p w14:paraId="26D23CF9" w14:textId="77777777" w:rsidR="006F6E9E" w:rsidRPr="006F6E9E" w:rsidRDefault="006F6E9E" w:rsidP="006F6E9E">
      <w:pPr>
        <w:ind w:left="2268"/>
        <w:jc w:val="both"/>
        <w:rPr>
          <w:rFonts w:ascii="Garamond" w:eastAsia="Times New Roman" w:hAnsi="Garamond" w:cs="Times New Roman"/>
          <w:color w:val="000000"/>
          <w:sz w:val="23"/>
          <w:szCs w:val="23"/>
        </w:rPr>
      </w:pPr>
      <w:r w:rsidRPr="006F6E9E">
        <w:rPr>
          <w:rFonts w:ascii="Garamond" w:eastAsia="Times New Roman" w:hAnsi="Garamond" w:cs="Times New Roman"/>
          <w:color w:val="000000"/>
          <w:sz w:val="23"/>
          <w:szCs w:val="23"/>
        </w:rPr>
        <w:t>APELAÇÃO CÍVEL. EXECUÇÃO INDIVIDUAL DE SENTENÇA COLETIVA. GRATIFICAÇÃO NOVA ESCOLA. SENTENÇA QUE REJEITOU A ALEGAÇÃO DE PRESCRIÇÃO SUSCITADA PELO ESTADO, FIXOU O VALOR DEVIDO E DETERMINOU A EXPEDIÇÃO DE RPV. RECURSO DO RÉU.</w:t>
      </w:r>
    </w:p>
    <w:p w14:paraId="6A79E6EF" w14:textId="77777777" w:rsidR="006F6E9E" w:rsidRPr="006F6E9E" w:rsidRDefault="006F6E9E" w:rsidP="006F6E9E">
      <w:pPr>
        <w:ind w:left="2268"/>
        <w:jc w:val="both"/>
        <w:rPr>
          <w:rFonts w:ascii="Garamond" w:eastAsia="Times New Roman" w:hAnsi="Garamond" w:cs="Times New Roman"/>
          <w:color w:val="000000"/>
          <w:sz w:val="23"/>
          <w:szCs w:val="23"/>
        </w:rPr>
      </w:pPr>
      <w:r w:rsidRPr="006F6E9E">
        <w:rPr>
          <w:rFonts w:ascii="Garamond" w:eastAsia="Times New Roman" w:hAnsi="Garamond" w:cs="Times New Roman"/>
          <w:color w:val="000000"/>
          <w:sz w:val="23"/>
          <w:szCs w:val="23"/>
        </w:rPr>
        <w:t>- Considerando que a parte exequente formulou a sua pretensão executória com arrimo na sentença proferida na ação civil pública nº 0138093-28.2006.8.19.0001 (servidores da ativa), cumpre reconhecer a competência desta C. 15ª Câmara Cível para o julgamento do presente recurso.</w:t>
      </w:r>
    </w:p>
    <w:p w14:paraId="619D4DCB" w14:textId="77777777" w:rsidR="006F6E9E" w:rsidRPr="006F6E9E" w:rsidRDefault="006F6E9E" w:rsidP="006F6E9E">
      <w:pPr>
        <w:ind w:left="2268"/>
        <w:jc w:val="both"/>
        <w:rPr>
          <w:rFonts w:ascii="Garamond" w:eastAsia="Times New Roman" w:hAnsi="Garamond" w:cs="Times New Roman"/>
          <w:color w:val="000000"/>
          <w:sz w:val="23"/>
          <w:szCs w:val="23"/>
        </w:rPr>
      </w:pPr>
      <w:r w:rsidRPr="006F6E9E">
        <w:rPr>
          <w:rFonts w:ascii="Garamond" w:eastAsia="Times New Roman" w:hAnsi="Garamond" w:cs="Times New Roman"/>
          <w:color w:val="000000"/>
          <w:sz w:val="23"/>
          <w:szCs w:val="23"/>
        </w:rPr>
        <w:t>- A jurisprudência do Eg. Supremo Tribunal Federal se consolidou no sentido de que os sindicatos, no ajuizamento de ações coletivas, figuram como legitimados extraordinários, defendendo, em nome próprio, direito alheio, e de determinada categoria (</w:t>
      </w:r>
      <w:r w:rsidRPr="006F6E9E">
        <w:rPr>
          <w:rFonts w:ascii="Garamond" w:eastAsia="Times New Roman" w:hAnsi="Garamond" w:cs="Times New Roman"/>
          <w:color w:val="000000"/>
          <w:sz w:val="23"/>
          <w:szCs w:val="23"/>
          <w:u w:val="single"/>
        </w:rPr>
        <w:t>independente de lista de filiados</w:t>
      </w:r>
      <w:r w:rsidRPr="006F6E9E">
        <w:rPr>
          <w:rFonts w:ascii="Garamond" w:eastAsia="Times New Roman" w:hAnsi="Garamond" w:cs="Times New Roman"/>
          <w:color w:val="000000"/>
          <w:sz w:val="23"/>
          <w:szCs w:val="23"/>
        </w:rPr>
        <w:t>).</w:t>
      </w:r>
    </w:p>
    <w:p w14:paraId="6ABE3EF5" w14:textId="77777777" w:rsidR="006F6E9E" w:rsidRPr="006F6E9E" w:rsidRDefault="006F6E9E" w:rsidP="006F6E9E">
      <w:pPr>
        <w:ind w:left="2268"/>
        <w:jc w:val="both"/>
        <w:rPr>
          <w:rFonts w:ascii="Garamond" w:eastAsia="Times New Roman" w:hAnsi="Garamond" w:cs="Times New Roman"/>
          <w:color w:val="000000"/>
          <w:sz w:val="23"/>
          <w:szCs w:val="23"/>
        </w:rPr>
      </w:pPr>
      <w:r w:rsidRPr="006F6E9E">
        <w:rPr>
          <w:rFonts w:ascii="Garamond" w:eastAsia="Times New Roman" w:hAnsi="Garamond" w:cs="Times New Roman"/>
          <w:color w:val="000000"/>
          <w:sz w:val="23"/>
          <w:szCs w:val="23"/>
        </w:rPr>
        <w:t>- A Corte Constitucional também já se posicionou no sentido de que a mencionada legitimidade extraordinária é ampla, alcançando, também, a fase de execução.</w:t>
      </w:r>
    </w:p>
    <w:p w14:paraId="1F823185" w14:textId="77777777" w:rsidR="006F6E9E" w:rsidRPr="006F6E9E" w:rsidRDefault="006F6E9E" w:rsidP="006F6E9E">
      <w:pPr>
        <w:ind w:left="2268"/>
        <w:jc w:val="both"/>
        <w:rPr>
          <w:rFonts w:ascii="Garamond" w:eastAsia="Times New Roman" w:hAnsi="Garamond" w:cs="Times New Roman"/>
          <w:color w:val="000000"/>
          <w:sz w:val="23"/>
          <w:szCs w:val="23"/>
        </w:rPr>
      </w:pPr>
      <w:r w:rsidRPr="006F6E9E">
        <w:rPr>
          <w:rFonts w:ascii="Garamond" w:eastAsia="Times New Roman" w:hAnsi="Garamond" w:cs="Times New Roman"/>
          <w:color w:val="000000"/>
          <w:sz w:val="23"/>
          <w:szCs w:val="23"/>
        </w:rPr>
        <w:t>- De acordo com o que restou decidido pelo C.STJ ao apreciar o Tema 877, "O prazo prescricional para a execução individual é contado do trânsito em julgado da sentença coletiva, sendo desnecessária a providência de que trata o art. 94 da Lei n. 8.078/90".</w:t>
      </w:r>
    </w:p>
    <w:p w14:paraId="60B28019" w14:textId="77777777" w:rsidR="006F6E9E" w:rsidRPr="006F6E9E" w:rsidRDefault="006F6E9E" w:rsidP="006F6E9E">
      <w:pPr>
        <w:ind w:left="2268"/>
        <w:jc w:val="both"/>
        <w:rPr>
          <w:rFonts w:ascii="Garamond" w:eastAsia="Times New Roman" w:hAnsi="Garamond" w:cs="Times New Roman"/>
          <w:color w:val="000000"/>
          <w:sz w:val="23"/>
          <w:szCs w:val="23"/>
        </w:rPr>
      </w:pPr>
      <w:r w:rsidRPr="006F6E9E">
        <w:rPr>
          <w:rFonts w:ascii="Garamond" w:eastAsia="Times New Roman" w:hAnsi="Garamond" w:cs="Times New Roman"/>
          <w:color w:val="000000"/>
          <w:sz w:val="23"/>
          <w:szCs w:val="23"/>
        </w:rPr>
        <w:t>- Na hipótese em julgamento, o sindicato, antes de consumada a fluência do prazo quinquenal, iniciou, na ação coletiva, a fase de cumprimento da sentença.</w:t>
      </w:r>
    </w:p>
    <w:p w14:paraId="3AE9358B" w14:textId="77777777" w:rsidR="006F6E9E" w:rsidRPr="006F6E9E" w:rsidRDefault="006F6E9E" w:rsidP="006F6E9E">
      <w:pPr>
        <w:ind w:left="2268"/>
        <w:jc w:val="both"/>
        <w:rPr>
          <w:rFonts w:ascii="Garamond" w:eastAsia="Times New Roman" w:hAnsi="Garamond" w:cs="Times New Roman"/>
          <w:color w:val="000000"/>
          <w:sz w:val="23"/>
          <w:szCs w:val="23"/>
        </w:rPr>
      </w:pPr>
      <w:r w:rsidRPr="006F6E9E">
        <w:rPr>
          <w:rFonts w:ascii="Garamond" w:eastAsia="Times New Roman" w:hAnsi="Garamond" w:cs="Times New Roman"/>
          <w:color w:val="000000"/>
          <w:sz w:val="23"/>
          <w:szCs w:val="23"/>
        </w:rPr>
        <w:t>- Com efeito, o ajuizamento da ação de execução coletiva pelo sindicato é causa de interrupção da contagem do prazo prescricional, que recomeça a correr pela metade, a partir do último ato processual da causa interruptiva. Precedentes desta C. Câmara Cível e do C. STJ.</w:t>
      </w:r>
    </w:p>
    <w:p w14:paraId="1FB7F602" w14:textId="77777777" w:rsidR="006F6E9E" w:rsidRPr="006F6E9E" w:rsidRDefault="006F6E9E" w:rsidP="006F6E9E">
      <w:pPr>
        <w:ind w:left="2268"/>
        <w:jc w:val="both"/>
        <w:rPr>
          <w:rFonts w:ascii="Garamond" w:eastAsia="Times New Roman" w:hAnsi="Garamond" w:cs="Times New Roman"/>
          <w:color w:val="000000"/>
          <w:sz w:val="23"/>
          <w:szCs w:val="23"/>
        </w:rPr>
      </w:pPr>
      <w:r w:rsidRPr="006F6E9E">
        <w:rPr>
          <w:rFonts w:ascii="Garamond" w:eastAsia="Times New Roman" w:hAnsi="Garamond" w:cs="Times New Roman"/>
          <w:color w:val="000000"/>
          <w:sz w:val="23"/>
          <w:szCs w:val="23"/>
        </w:rPr>
        <w:t>- Nesse contexto, não obstante a fluência do prazo prescricional tenha se iniciado com o trânsito em julgado da sentença proferida na ação coletiva (Tema 877), concluo que, atualmente, se encontra ela interrompida, até que seja praticado o último ato da causa interruptiva.</w:t>
      </w:r>
    </w:p>
    <w:p w14:paraId="6F655C67" w14:textId="77777777" w:rsidR="006F6E9E" w:rsidRPr="006F6E9E" w:rsidRDefault="006F6E9E" w:rsidP="006F6E9E">
      <w:pPr>
        <w:ind w:left="2268"/>
        <w:jc w:val="both"/>
        <w:rPr>
          <w:rFonts w:ascii="Garamond" w:eastAsia="Times New Roman" w:hAnsi="Garamond" w:cs="Times New Roman"/>
          <w:color w:val="000000"/>
          <w:sz w:val="23"/>
          <w:szCs w:val="23"/>
        </w:rPr>
      </w:pPr>
      <w:r w:rsidRPr="006F6E9E">
        <w:rPr>
          <w:rFonts w:ascii="Garamond" w:eastAsia="Times New Roman" w:hAnsi="Garamond" w:cs="Times New Roman"/>
          <w:color w:val="000000"/>
          <w:sz w:val="23"/>
          <w:szCs w:val="23"/>
        </w:rPr>
        <w:t>- Pretensão que não foi alcançada pela prescrição, de acordo com o entendimento do C. STF.</w:t>
      </w:r>
    </w:p>
    <w:p w14:paraId="1E96C5AB" w14:textId="77777777" w:rsidR="006F6E9E" w:rsidRPr="006F6E9E" w:rsidRDefault="006F6E9E" w:rsidP="006F6E9E">
      <w:pPr>
        <w:ind w:left="2268"/>
        <w:jc w:val="both"/>
        <w:rPr>
          <w:rFonts w:ascii="Garamond" w:eastAsia="Times New Roman" w:hAnsi="Garamond" w:cs="Times New Roman"/>
          <w:b/>
          <w:color w:val="000000"/>
          <w:sz w:val="23"/>
          <w:szCs w:val="23"/>
          <w:u w:val="single"/>
        </w:rPr>
      </w:pPr>
      <w:r w:rsidRPr="006F6E9E">
        <w:rPr>
          <w:rFonts w:ascii="Garamond" w:eastAsia="Times New Roman" w:hAnsi="Garamond" w:cs="Times New Roman"/>
          <w:b/>
          <w:color w:val="000000"/>
          <w:sz w:val="23"/>
          <w:szCs w:val="23"/>
          <w:u w:val="single"/>
        </w:rPr>
        <w:lastRenderedPageBreak/>
        <w:t>- Diante da ausência de critério para a avaliação da gratificação devida no ano de 2002, este Eg Tribunal de Justiça já se manifestou pela utilização dos parâmetros do ano anterior (2001).</w:t>
      </w:r>
    </w:p>
    <w:p w14:paraId="1929FA7B" w14:textId="77777777" w:rsidR="006F6E9E" w:rsidRPr="006F6E9E" w:rsidRDefault="006F6E9E" w:rsidP="006F6E9E">
      <w:pPr>
        <w:ind w:left="2268"/>
        <w:jc w:val="both"/>
        <w:rPr>
          <w:rFonts w:ascii="Garamond" w:eastAsia="Times New Roman" w:hAnsi="Garamond" w:cs="Times New Roman"/>
          <w:color w:val="000000"/>
          <w:sz w:val="23"/>
          <w:szCs w:val="23"/>
        </w:rPr>
      </w:pPr>
      <w:r w:rsidRPr="006F6E9E">
        <w:rPr>
          <w:rFonts w:ascii="Garamond" w:eastAsia="Times New Roman" w:hAnsi="Garamond" w:cs="Times New Roman"/>
          <w:color w:val="000000"/>
          <w:sz w:val="23"/>
          <w:szCs w:val="23"/>
        </w:rPr>
        <w:t>- No que tange ao termo inicial dos juros de mora, melhor sorte não socorre ao apelante. É preciso que seja observada a citação na ação coletiva, sob pena de suprimir do exequente individual direito que será assegurado àqueles que estão executando o julgado na ação coletiva. O valor a ser recebido pelo exequente individual não pode ser inferior ou superior ao que será recebido pelo credor que optou por satisfazer o seu crédito na ação coletiva.</w:t>
      </w:r>
    </w:p>
    <w:p w14:paraId="7A7AED7D" w14:textId="77777777" w:rsidR="006F6E9E" w:rsidRPr="006F6E9E" w:rsidRDefault="006F6E9E" w:rsidP="006F6E9E">
      <w:pPr>
        <w:ind w:left="2268"/>
        <w:jc w:val="both"/>
        <w:rPr>
          <w:rFonts w:ascii="Garamond" w:eastAsia="Times New Roman" w:hAnsi="Garamond" w:cs="Times New Roman"/>
          <w:color w:val="000000"/>
          <w:sz w:val="23"/>
          <w:szCs w:val="23"/>
        </w:rPr>
      </w:pPr>
      <w:r w:rsidRPr="006F6E9E">
        <w:rPr>
          <w:rFonts w:ascii="Garamond" w:eastAsia="Times New Roman" w:hAnsi="Garamond" w:cs="Times New Roman"/>
          <w:color w:val="000000"/>
          <w:sz w:val="23"/>
          <w:szCs w:val="23"/>
        </w:rPr>
        <w:t>RECURSO CONHECIDO E DESPROVIDO.</w:t>
      </w:r>
    </w:p>
    <w:p w14:paraId="58F5C613" w14:textId="77777777" w:rsidR="006F6E9E" w:rsidRDefault="006F6E9E" w:rsidP="006F6E9E">
      <w:pPr>
        <w:ind w:left="2268"/>
        <w:jc w:val="both"/>
        <w:rPr>
          <w:rFonts w:ascii="Garamond" w:eastAsia="Times New Roman" w:hAnsi="Garamond" w:cs="Times New Roman"/>
          <w:color w:val="000000"/>
          <w:sz w:val="23"/>
          <w:szCs w:val="23"/>
        </w:rPr>
      </w:pPr>
      <w:r w:rsidRPr="006F6E9E">
        <w:rPr>
          <w:rFonts w:ascii="Garamond" w:eastAsia="Times New Roman" w:hAnsi="Garamond" w:cs="Times New Roman"/>
          <w:color w:val="000000"/>
          <w:sz w:val="23"/>
          <w:szCs w:val="23"/>
        </w:rPr>
        <w:t>(0060009-42.2019.8.19.0038 - APELAÇÃO. Des(a). MARIA REGINA FONSECA NOVA ALVES - Julgamento: 31/05/2022 - DÉCIMA QUINTA CÂMARA CÍVEL) (</w:t>
      </w:r>
      <w:r w:rsidRPr="006F6E9E">
        <w:rPr>
          <w:rFonts w:ascii="Garamond" w:eastAsia="Times New Roman" w:hAnsi="Garamond" w:cs="Times New Roman"/>
          <w:b/>
          <w:color w:val="000000"/>
          <w:sz w:val="23"/>
          <w:szCs w:val="23"/>
        </w:rPr>
        <w:t>Grifos nossos</w:t>
      </w:r>
      <w:r w:rsidRPr="006F6E9E">
        <w:rPr>
          <w:rFonts w:ascii="Garamond" w:eastAsia="Times New Roman" w:hAnsi="Garamond" w:cs="Times New Roman"/>
          <w:color w:val="000000"/>
          <w:sz w:val="23"/>
          <w:szCs w:val="23"/>
        </w:rPr>
        <w:t>)</w:t>
      </w:r>
    </w:p>
    <w:p w14:paraId="6B9E6C35" w14:textId="77777777" w:rsidR="006F6E9E" w:rsidRDefault="006F6E9E" w:rsidP="006F6E9E">
      <w:pPr>
        <w:ind w:left="2268"/>
        <w:jc w:val="both"/>
        <w:rPr>
          <w:rFonts w:ascii="Garamond" w:eastAsia="Times New Roman" w:hAnsi="Garamond" w:cs="Times New Roman"/>
          <w:color w:val="000000"/>
          <w:sz w:val="23"/>
          <w:szCs w:val="23"/>
        </w:rPr>
      </w:pPr>
    </w:p>
    <w:p w14:paraId="157C6064" w14:textId="77777777" w:rsidR="006F6E9E" w:rsidRDefault="006F6E9E" w:rsidP="006F6E9E">
      <w:pPr>
        <w:ind w:left="2268"/>
        <w:jc w:val="both"/>
        <w:rPr>
          <w:rFonts w:ascii="Garamond" w:eastAsia="Times New Roman" w:hAnsi="Garamond" w:cs="Times New Roman"/>
          <w:color w:val="000000"/>
          <w:sz w:val="23"/>
          <w:szCs w:val="23"/>
        </w:rPr>
      </w:pPr>
    </w:p>
    <w:p w14:paraId="56084E63" w14:textId="055C83D8" w:rsidR="006F6E9E" w:rsidRPr="006F6E9E" w:rsidRDefault="006F6E9E" w:rsidP="006F6E9E">
      <w:pPr>
        <w:ind w:firstLine="1134"/>
        <w:jc w:val="both"/>
        <w:rPr>
          <w:rFonts w:ascii="Garamond" w:eastAsia="Times New Roman" w:hAnsi="Garamond" w:cs="Times New Roman"/>
          <w:color w:val="000000"/>
          <w:sz w:val="23"/>
          <w:szCs w:val="23"/>
        </w:rPr>
      </w:pPr>
      <w:r>
        <w:rPr>
          <w:rFonts w:ascii="Garamond" w:eastAsia="Times New Roman" w:hAnsi="Garamond" w:cs="Times New Roman"/>
          <w:color w:val="000000"/>
          <w:sz w:val="23"/>
          <w:szCs w:val="23"/>
        </w:rPr>
        <w:t>Entendimento mantido</w:t>
      </w:r>
      <w:r w:rsidRPr="006F6E9E">
        <w:rPr>
          <w:rFonts w:ascii="Garamond" w:eastAsia="Times New Roman" w:hAnsi="Garamond" w:cs="Times New Roman"/>
          <w:color w:val="000000"/>
          <w:sz w:val="23"/>
          <w:szCs w:val="23"/>
        </w:rPr>
        <w:t xml:space="preserve"> pela Décima </w:t>
      </w:r>
      <w:r>
        <w:rPr>
          <w:rFonts w:ascii="Garamond" w:eastAsia="Times New Roman" w:hAnsi="Garamond" w:cs="Times New Roman"/>
          <w:color w:val="000000"/>
          <w:sz w:val="23"/>
          <w:szCs w:val="23"/>
        </w:rPr>
        <w:t>Sexta Câmara de Direito Público</w:t>
      </w:r>
      <w:r w:rsidRPr="006F6E9E">
        <w:rPr>
          <w:rFonts w:ascii="Garamond" w:eastAsia="Times New Roman" w:hAnsi="Garamond" w:cs="Times New Roman"/>
          <w:color w:val="000000"/>
          <w:sz w:val="23"/>
          <w:szCs w:val="23"/>
        </w:rPr>
        <w:t xml:space="preserve">, </w:t>
      </w:r>
      <w:r>
        <w:rPr>
          <w:rFonts w:ascii="Garamond" w:eastAsia="Times New Roman" w:hAnsi="Garamond" w:cs="Times New Roman"/>
          <w:color w:val="000000"/>
          <w:sz w:val="23"/>
          <w:szCs w:val="23"/>
        </w:rPr>
        <w:t xml:space="preserve">atual </w:t>
      </w:r>
      <w:r w:rsidRPr="006F6E9E">
        <w:rPr>
          <w:rFonts w:ascii="Garamond" w:eastAsia="Times New Roman" w:hAnsi="Garamond" w:cs="Times New Roman"/>
          <w:color w:val="000000"/>
          <w:sz w:val="23"/>
          <w:szCs w:val="23"/>
        </w:rPr>
        <w:t>Câmara preventa, Eg Tribunal de Justiç</w:t>
      </w:r>
      <w:r>
        <w:rPr>
          <w:rFonts w:ascii="Garamond" w:eastAsia="Times New Roman" w:hAnsi="Garamond" w:cs="Times New Roman"/>
          <w:color w:val="000000"/>
          <w:sz w:val="23"/>
          <w:szCs w:val="23"/>
        </w:rPr>
        <w:t>a</w:t>
      </w:r>
      <w:r w:rsidRPr="006F6E9E">
        <w:rPr>
          <w:rFonts w:ascii="Garamond" w:eastAsia="Times New Roman" w:hAnsi="Garamond" w:cs="Times New Roman"/>
          <w:color w:val="000000"/>
          <w:sz w:val="23"/>
          <w:szCs w:val="23"/>
        </w:rPr>
        <w:t xml:space="preserve">, </w:t>
      </w:r>
      <w:r w:rsidRPr="006F6E9E">
        <w:rPr>
          <w:rFonts w:ascii="Garamond" w:eastAsia="Times New Roman" w:hAnsi="Garamond" w:cs="Times New Roman"/>
          <w:i/>
          <w:color w:val="000000"/>
          <w:sz w:val="23"/>
          <w:szCs w:val="23"/>
        </w:rPr>
        <w:t>in verbis</w:t>
      </w:r>
      <w:r w:rsidRPr="006F6E9E">
        <w:rPr>
          <w:rFonts w:ascii="Garamond" w:eastAsia="Times New Roman" w:hAnsi="Garamond" w:cs="Times New Roman"/>
          <w:color w:val="000000"/>
          <w:sz w:val="23"/>
          <w:szCs w:val="23"/>
        </w:rPr>
        <w:t>:</w:t>
      </w:r>
    </w:p>
    <w:p w14:paraId="76B93F81" w14:textId="77777777" w:rsidR="006F6E9E" w:rsidRDefault="006F6E9E" w:rsidP="006F6E9E">
      <w:pPr>
        <w:ind w:left="2268"/>
        <w:jc w:val="both"/>
        <w:rPr>
          <w:rFonts w:ascii="Garamond" w:eastAsia="Times New Roman" w:hAnsi="Garamond" w:cs="Times New Roman"/>
          <w:color w:val="000000"/>
          <w:sz w:val="23"/>
          <w:szCs w:val="23"/>
        </w:rPr>
      </w:pPr>
    </w:p>
    <w:p w14:paraId="0F436490" w14:textId="77777777" w:rsidR="00577D27" w:rsidRPr="00577D27" w:rsidRDefault="00577D27" w:rsidP="00577D27">
      <w:pPr>
        <w:ind w:left="2268"/>
        <w:jc w:val="both"/>
        <w:rPr>
          <w:rFonts w:ascii="Garamond" w:eastAsia="Times New Roman" w:hAnsi="Garamond" w:cs="Times New Roman"/>
          <w:color w:val="000000"/>
          <w:sz w:val="23"/>
          <w:szCs w:val="23"/>
        </w:rPr>
      </w:pPr>
      <w:r w:rsidRPr="00577D27">
        <w:rPr>
          <w:rFonts w:ascii="Garamond" w:eastAsia="Times New Roman" w:hAnsi="Garamond" w:cs="Times New Roman"/>
          <w:color w:val="000000"/>
          <w:sz w:val="23"/>
          <w:szCs w:val="23"/>
        </w:rPr>
        <w:t xml:space="preserve">AGRAVO DE INSTRUMENTO. ESTADO DO RIO DE JANEIRO. DIREITO ADMINISTRATIVO. SERVIDORA PÚBLICA. </w:t>
      </w:r>
      <w:r w:rsidRPr="00577D27">
        <w:rPr>
          <w:rFonts w:ascii="Garamond" w:eastAsia="Times New Roman" w:hAnsi="Garamond" w:cs="Times New Roman"/>
          <w:b/>
          <w:bCs/>
          <w:color w:val="000000"/>
          <w:sz w:val="23"/>
          <w:szCs w:val="23"/>
        </w:rPr>
        <w:t>GRATIFICAÇÃO NOVA ESCOLA. LIQUIDAÇÃO INDIVIDUAL DE SENTENÇA</w:t>
      </w:r>
      <w:r w:rsidRPr="00577D27">
        <w:rPr>
          <w:rFonts w:ascii="Garamond" w:eastAsia="Times New Roman" w:hAnsi="Garamond" w:cs="Times New Roman"/>
          <w:color w:val="000000"/>
          <w:sz w:val="23"/>
          <w:szCs w:val="23"/>
        </w:rPr>
        <w:t xml:space="preserve"> COLETIVA PROFERIDA NOS AUTOS DE Nº 0138093-28.2006.8.19.0001. TEMA 1.033 DO STJ QUE NÃO SE APLICA AO CASO CONCRETO, POIS VERSA SOBRE A "INTERRUPÇÃO DO PRAZO PRESCRICIONAL PARA PLEITEAR O CUMPRIMENTO DE SENTENÇA COLETIVA, EM VIRTUDE DO AJUIZAMENTO DE AÇÃO DE PROTESTO OU DE EXECUÇÃO COLETIVA POR LEGITIMADO PARA PROPOR DEMANDAS COLETIVAS" E EM QUE HÁ ORDEM DE SUSPENSÃO DOS RECURSOS ESPECIAIS E AGRAVOS EM RECURSO ESPECIAL, O QUE NÃO É O CASO. DECISÃO DE REJEIÇÃO DA IMPUGNAÇÃO. INSURGÊNCIA DO ESTADO, QUE BUSCA O RECONHECIMENTO DA PRESCRIÇÃO E A INCIDÊNCIA DOS JUROS LEGAIS DESDE A CITAÇÃO DA PARTE RÉ NA PRESENTE DEMANDA, COM APLICAÇÃO DOS ÍNDICES DE CORREÇÃO MONETÁRIA NOS TERMOS PRETENDIDOS PELO RECORRENTE. DESCABIMENTO. A PRESCRIÇÃO PARA A EXECUÇÃO INDIVIDUAL INICIA-SE COM O TRÂNSITO EM JULGADO DA SENTENÇA COLETIVA (14/10/2011), NO ENTANTO, INTERROMPE-SE COM O AJUIZAMENTO DE EXECUÇÃO PELO LEGITIMADO COLETIVO. TEMAS 877 DO STJ E 823 DO STF. PRESCRIÇÃO NÃO VERIFICADA. </w:t>
      </w:r>
      <w:r w:rsidRPr="00577D27">
        <w:rPr>
          <w:rFonts w:ascii="Garamond" w:eastAsia="Times New Roman" w:hAnsi="Garamond" w:cs="Times New Roman"/>
          <w:b/>
          <w:bCs/>
          <w:color w:val="000000"/>
          <w:sz w:val="23"/>
          <w:szCs w:val="23"/>
        </w:rPr>
        <w:t>ADOÇÃO DO CRITÉRIO DE AVALIAÇÃO DO ANO DE 2001 (PROCESSO Nº 0007370-30.2020.8.19.0000). TERMO INICIAL DOS JUROS DE MORA QUE DEVE SER A DATA DA CITAÇÃO NA AÇÃO COLETIVA</w:t>
      </w:r>
      <w:r w:rsidRPr="00577D27">
        <w:rPr>
          <w:rFonts w:ascii="Garamond" w:eastAsia="Times New Roman" w:hAnsi="Garamond" w:cs="Times New Roman"/>
          <w:color w:val="000000"/>
          <w:sz w:val="23"/>
          <w:szCs w:val="23"/>
        </w:rPr>
        <w:t xml:space="preserve"> (TEMA 685 STJ). NEGATIVA DE PROVIMENTO AO RECURSO.</w:t>
      </w:r>
    </w:p>
    <w:p w14:paraId="3F674A3B" w14:textId="27759F03" w:rsidR="006F6E9E" w:rsidRDefault="00577D27" w:rsidP="00577D27">
      <w:pPr>
        <w:ind w:left="2268"/>
        <w:jc w:val="both"/>
        <w:rPr>
          <w:rFonts w:ascii="Garamond" w:eastAsia="Times New Roman" w:hAnsi="Garamond" w:cs="Times New Roman"/>
          <w:color w:val="000000"/>
          <w:sz w:val="23"/>
          <w:szCs w:val="23"/>
        </w:rPr>
      </w:pPr>
      <w:r w:rsidRPr="00577D27">
        <w:rPr>
          <w:rFonts w:ascii="Garamond" w:eastAsia="Times New Roman" w:hAnsi="Garamond" w:cs="Times New Roman"/>
          <w:color w:val="000000"/>
          <w:sz w:val="23"/>
          <w:szCs w:val="23"/>
        </w:rPr>
        <w:t>(0058181-86.2023.8.19.0000 - AGRAVO DE INSTRUMENTO. Des(a). ANDRE EMILIO RIBEIRO VON MELENTOVYTCH - Julgamento: 16/11/2023 - SEXTA CAMARA DE DIREITO PUBLICO (ANTIGA 21ª CÂMARA)</w:t>
      </w:r>
    </w:p>
    <w:p w14:paraId="6789F22A" w14:textId="77777777" w:rsidR="006F6E9E" w:rsidRDefault="006F6E9E" w:rsidP="006F6E9E">
      <w:pPr>
        <w:ind w:left="2268"/>
        <w:jc w:val="both"/>
        <w:rPr>
          <w:rFonts w:ascii="Garamond" w:eastAsia="Times New Roman" w:hAnsi="Garamond" w:cs="Times New Roman"/>
          <w:color w:val="000000"/>
          <w:sz w:val="23"/>
          <w:szCs w:val="23"/>
        </w:rPr>
      </w:pPr>
    </w:p>
    <w:p w14:paraId="7B36AFD6" w14:textId="77777777" w:rsidR="006F6E9E" w:rsidRPr="006F6E9E" w:rsidRDefault="006F6E9E" w:rsidP="006F6E9E">
      <w:pPr>
        <w:ind w:left="2268"/>
        <w:jc w:val="both"/>
        <w:rPr>
          <w:rFonts w:ascii="Garamond" w:eastAsia="Times New Roman" w:hAnsi="Garamond" w:cs="Times New Roman"/>
          <w:color w:val="000000"/>
          <w:sz w:val="23"/>
          <w:szCs w:val="23"/>
        </w:rPr>
      </w:pPr>
    </w:p>
    <w:p w14:paraId="67BCB5DE" w14:textId="77777777" w:rsidR="006F6E9E" w:rsidRPr="006F6E9E" w:rsidRDefault="006F6E9E" w:rsidP="006F6E9E">
      <w:pPr>
        <w:ind w:left="2268"/>
        <w:jc w:val="both"/>
        <w:rPr>
          <w:rFonts w:ascii="Garamond" w:eastAsia="Times New Roman" w:hAnsi="Garamond" w:cs="Times New Roman"/>
          <w:color w:val="000000"/>
          <w:sz w:val="23"/>
          <w:szCs w:val="23"/>
        </w:rPr>
      </w:pPr>
    </w:p>
    <w:p w14:paraId="5E49BA4D" w14:textId="77777777" w:rsidR="006F6E9E" w:rsidRPr="006F6E9E" w:rsidRDefault="006F6E9E" w:rsidP="006F6E9E">
      <w:pPr>
        <w:ind w:left="2268" w:firstLine="1134"/>
        <w:jc w:val="both"/>
        <w:rPr>
          <w:rFonts w:ascii="Garamond" w:eastAsia="Times New Roman" w:hAnsi="Garamond" w:cs="Times New Roman"/>
          <w:color w:val="000000"/>
          <w:sz w:val="23"/>
          <w:szCs w:val="23"/>
        </w:rPr>
      </w:pPr>
    </w:p>
    <w:p w14:paraId="4D7D0EB0" w14:textId="7D4CA262" w:rsidR="006F6E9E" w:rsidRPr="006F6E9E" w:rsidRDefault="006F6E9E" w:rsidP="006F6E9E">
      <w:pPr>
        <w:ind w:firstLine="1134"/>
        <w:jc w:val="both"/>
        <w:rPr>
          <w:rFonts w:ascii="Garamond" w:eastAsia="Times New Roman" w:hAnsi="Garamond" w:cs="Times New Roman"/>
          <w:color w:val="000000"/>
          <w:sz w:val="23"/>
          <w:szCs w:val="23"/>
        </w:rPr>
      </w:pPr>
      <w:r w:rsidRPr="006F6E9E">
        <w:rPr>
          <w:rFonts w:ascii="Garamond" w:eastAsia="Times New Roman" w:hAnsi="Garamond" w:cs="Times New Roman"/>
          <w:color w:val="000000"/>
          <w:sz w:val="23"/>
          <w:szCs w:val="23"/>
        </w:rPr>
        <w:lastRenderedPageBreak/>
        <w:t xml:space="preserve">Portanto, se faz necessário o presente recurso de </w:t>
      </w:r>
      <w:r w:rsidR="00577D27">
        <w:rPr>
          <w:rFonts w:ascii="Garamond" w:eastAsia="Times New Roman" w:hAnsi="Garamond" w:cs="Times New Roman"/>
          <w:color w:val="000000"/>
          <w:sz w:val="23"/>
          <w:szCs w:val="23"/>
        </w:rPr>
        <w:t>Agravo de Instrumento</w:t>
      </w:r>
      <w:r w:rsidRPr="006F6E9E">
        <w:rPr>
          <w:rFonts w:ascii="Garamond" w:eastAsia="Times New Roman" w:hAnsi="Garamond" w:cs="Times New Roman"/>
          <w:color w:val="000000"/>
          <w:sz w:val="23"/>
          <w:szCs w:val="23"/>
        </w:rPr>
        <w:t xml:space="preserve"> a fim </w:t>
      </w:r>
      <w:r w:rsidR="00577D27">
        <w:rPr>
          <w:rFonts w:ascii="Garamond" w:eastAsia="Times New Roman" w:hAnsi="Garamond" w:cs="Times New Roman"/>
          <w:color w:val="000000"/>
          <w:sz w:val="23"/>
          <w:szCs w:val="23"/>
        </w:rPr>
        <w:t>ser determinada a</w:t>
      </w:r>
      <w:r w:rsidRPr="006F6E9E">
        <w:rPr>
          <w:rFonts w:ascii="Garamond" w:eastAsia="Times New Roman" w:hAnsi="Garamond" w:cs="Times New Roman"/>
          <w:color w:val="000000"/>
          <w:sz w:val="23"/>
          <w:szCs w:val="23"/>
        </w:rPr>
        <w:t xml:space="preserve"> aplicação como paradigma a avaliação do ano de 2001.</w:t>
      </w:r>
    </w:p>
    <w:p w14:paraId="51A9534C" w14:textId="77777777" w:rsidR="006F6E9E" w:rsidRPr="006F6E9E" w:rsidRDefault="006F6E9E" w:rsidP="006F6E9E">
      <w:pPr>
        <w:ind w:firstLine="1134"/>
        <w:jc w:val="both"/>
        <w:rPr>
          <w:rFonts w:ascii="Garamond" w:eastAsia="Times New Roman" w:hAnsi="Garamond" w:cs="Times New Roman"/>
          <w:color w:val="000000"/>
          <w:sz w:val="23"/>
          <w:szCs w:val="23"/>
        </w:rPr>
      </w:pPr>
    </w:p>
    <w:p w14:paraId="67ED70E2" w14:textId="27C07D5A" w:rsidR="006F6E9E" w:rsidRPr="006F6E9E" w:rsidRDefault="00577D27" w:rsidP="00577D27">
      <w:pPr>
        <w:jc w:val="center"/>
        <w:rPr>
          <w:rFonts w:ascii="Garamond" w:eastAsia="Times New Roman" w:hAnsi="Garamond" w:cs="Times New Roman"/>
          <w:b/>
          <w:bCs/>
          <w:color w:val="000000"/>
          <w:sz w:val="23"/>
          <w:szCs w:val="23"/>
        </w:rPr>
      </w:pPr>
      <w:r>
        <w:rPr>
          <w:rFonts w:ascii="Garamond" w:eastAsia="Times New Roman" w:hAnsi="Garamond" w:cs="Times New Roman"/>
          <w:b/>
          <w:bCs/>
          <w:color w:val="000000"/>
          <w:sz w:val="23"/>
          <w:szCs w:val="23"/>
        </w:rPr>
        <w:t xml:space="preserve">- </w:t>
      </w:r>
      <w:r w:rsidRPr="006F6E9E">
        <w:rPr>
          <w:rFonts w:ascii="Garamond" w:eastAsia="Times New Roman" w:hAnsi="Garamond" w:cs="Times New Roman"/>
          <w:b/>
          <w:bCs/>
          <w:color w:val="000000"/>
          <w:sz w:val="23"/>
          <w:szCs w:val="23"/>
        </w:rPr>
        <w:t>Quanto Ao Arbitramento De Honorários Em Fase De Cumprimento De Sentença</w:t>
      </w:r>
      <w:r>
        <w:rPr>
          <w:rFonts w:ascii="Garamond" w:eastAsia="Times New Roman" w:hAnsi="Garamond" w:cs="Times New Roman"/>
          <w:b/>
          <w:bCs/>
          <w:color w:val="000000"/>
          <w:sz w:val="23"/>
          <w:szCs w:val="23"/>
        </w:rPr>
        <w:t xml:space="preserve"> -</w:t>
      </w:r>
    </w:p>
    <w:p w14:paraId="1B108BFC" w14:textId="77777777" w:rsidR="006F6E9E" w:rsidRPr="006F6E9E" w:rsidRDefault="006F6E9E" w:rsidP="006F6E9E">
      <w:pPr>
        <w:ind w:firstLine="1134"/>
        <w:jc w:val="both"/>
        <w:rPr>
          <w:rFonts w:ascii="Garamond" w:eastAsia="Times New Roman" w:hAnsi="Garamond" w:cs="Times New Roman"/>
          <w:color w:val="000000"/>
          <w:sz w:val="23"/>
          <w:szCs w:val="23"/>
        </w:rPr>
      </w:pPr>
    </w:p>
    <w:p w14:paraId="64D6FC04" w14:textId="77777777" w:rsidR="006F6E9E" w:rsidRDefault="006F6E9E" w:rsidP="006F6E9E">
      <w:pPr>
        <w:ind w:firstLine="1134"/>
        <w:jc w:val="both"/>
        <w:rPr>
          <w:rFonts w:ascii="Garamond" w:eastAsia="Times New Roman" w:hAnsi="Garamond" w:cs="Times New Roman"/>
          <w:color w:val="000000"/>
          <w:sz w:val="23"/>
          <w:szCs w:val="23"/>
        </w:rPr>
      </w:pPr>
      <w:r w:rsidRPr="006F6E9E">
        <w:rPr>
          <w:rFonts w:ascii="Garamond" w:eastAsia="Times New Roman" w:hAnsi="Garamond" w:cs="Times New Roman"/>
          <w:color w:val="000000"/>
          <w:sz w:val="23"/>
          <w:szCs w:val="23"/>
        </w:rPr>
        <w:t>Ainda, o Superior Tribunal de Justiça possui entendimento consolidado no sentido de que deve haver arbitramento de honorários na fase de cumprimento/execução de sentença, por se tratarem de etapas processuais diversas.</w:t>
      </w:r>
    </w:p>
    <w:p w14:paraId="7174815A" w14:textId="77777777" w:rsidR="00577D27" w:rsidRPr="006F6E9E" w:rsidRDefault="00577D27" w:rsidP="006F6E9E">
      <w:pPr>
        <w:ind w:firstLine="1134"/>
        <w:jc w:val="both"/>
        <w:rPr>
          <w:rFonts w:ascii="Garamond" w:eastAsia="Times New Roman" w:hAnsi="Garamond" w:cs="Times New Roman"/>
          <w:color w:val="000000"/>
          <w:sz w:val="23"/>
          <w:szCs w:val="23"/>
        </w:rPr>
      </w:pPr>
    </w:p>
    <w:p w14:paraId="268F0B82" w14:textId="77777777" w:rsidR="006F6E9E" w:rsidRPr="006F6E9E" w:rsidRDefault="006F6E9E" w:rsidP="006F6E9E">
      <w:pPr>
        <w:ind w:firstLine="1134"/>
        <w:jc w:val="both"/>
        <w:rPr>
          <w:rFonts w:ascii="Garamond" w:eastAsia="Times New Roman" w:hAnsi="Garamond" w:cs="Times New Roman"/>
          <w:color w:val="000000"/>
          <w:sz w:val="23"/>
          <w:szCs w:val="23"/>
        </w:rPr>
      </w:pPr>
      <w:r w:rsidRPr="006F6E9E">
        <w:rPr>
          <w:rFonts w:ascii="Garamond" w:eastAsia="Times New Roman" w:hAnsi="Garamond" w:cs="Times New Roman"/>
          <w:color w:val="000000"/>
          <w:sz w:val="23"/>
          <w:szCs w:val="23"/>
        </w:rPr>
        <w:t>Neste sentido, os seguintes precedentes do STJ:</w:t>
      </w:r>
    </w:p>
    <w:p w14:paraId="58B93CD6" w14:textId="77777777" w:rsidR="006F6E9E" w:rsidRPr="006F6E9E" w:rsidRDefault="006F6E9E" w:rsidP="006F6E9E">
      <w:pPr>
        <w:ind w:firstLine="1134"/>
        <w:jc w:val="both"/>
        <w:rPr>
          <w:rFonts w:ascii="Garamond" w:eastAsia="Times New Roman" w:hAnsi="Garamond" w:cs="Times New Roman"/>
          <w:color w:val="000000"/>
          <w:sz w:val="23"/>
          <w:szCs w:val="23"/>
        </w:rPr>
      </w:pPr>
    </w:p>
    <w:p w14:paraId="555FC9F0" w14:textId="77777777" w:rsidR="006F6E9E" w:rsidRPr="006F6E9E" w:rsidRDefault="006F6E9E" w:rsidP="006F6E9E">
      <w:pPr>
        <w:ind w:left="2268"/>
        <w:jc w:val="both"/>
        <w:rPr>
          <w:rFonts w:ascii="Garamond" w:eastAsia="Times New Roman" w:hAnsi="Garamond" w:cs="Times New Roman"/>
          <w:color w:val="000000"/>
          <w:sz w:val="23"/>
          <w:szCs w:val="23"/>
        </w:rPr>
      </w:pPr>
      <w:r w:rsidRPr="006F6E9E">
        <w:rPr>
          <w:rFonts w:ascii="Garamond" w:eastAsia="Times New Roman" w:hAnsi="Garamond" w:cs="Times New Roman"/>
          <w:color w:val="000000"/>
          <w:sz w:val="23"/>
          <w:szCs w:val="23"/>
        </w:rPr>
        <w:t>PROCESSUAL CIVIL. ADMINISTRATIVO. CUMPRIMENTO DE SENTENÇA. ARBITRAMENTO DE HONORÁRIOS ADVOCATÍCIOS. POSSIBILIDADE. PRECEDENTES DO STJ. AGRAVO INTERNO IMPROVIDO. […] IV – É pacífico o entendimento no Superior Tribunal de Justiça segundo o qual é cabível o arbitramento de honorários na execução de sentença, sem que isso implique bis in idem, por se tratar de etapas processuais distintas entre a execução e os embargos à execução. […] (AgInt no AREsp 1435795/SP, Rel. Ministro FRANCISCO FALCÃO, SEGUNDA TURMA, julgado em 10/08/2020, DJe 14/08/2020)</w:t>
      </w:r>
    </w:p>
    <w:p w14:paraId="56D2E11D" w14:textId="77777777" w:rsidR="006F6E9E" w:rsidRPr="006F6E9E" w:rsidRDefault="006F6E9E" w:rsidP="006F6E9E">
      <w:pPr>
        <w:ind w:left="2268"/>
        <w:jc w:val="both"/>
        <w:rPr>
          <w:rFonts w:ascii="Garamond" w:eastAsia="Times New Roman" w:hAnsi="Garamond" w:cs="Times New Roman"/>
          <w:color w:val="000000"/>
          <w:sz w:val="23"/>
          <w:szCs w:val="23"/>
        </w:rPr>
      </w:pPr>
    </w:p>
    <w:p w14:paraId="73130912" w14:textId="77777777" w:rsidR="006F6E9E" w:rsidRPr="006F6E9E" w:rsidRDefault="006F6E9E" w:rsidP="006F6E9E">
      <w:pPr>
        <w:ind w:left="2268"/>
        <w:jc w:val="both"/>
        <w:rPr>
          <w:rFonts w:ascii="Garamond" w:eastAsia="Times New Roman" w:hAnsi="Garamond" w:cs="Times New Roman"/>
          <w:color w:val="000000"/>
          <w:sz w:val="23"/>
          <w:szCs w:val="23"/>
        </w:rPr>
      </w:pPr>
      <w:r w:rsidRPr="006F6E9E">
        <w:rPr>
          <w:rFonts w:ascii="Garamond" w:eastAsia="Times New Roman" w:hAnsi="Garamond" w:cs="Times New Roman"/>
          <w:color w:val="000000"/>
          <w:sz w:val="23"/>
          <w:szCs w:val="23"/>
        </w:rPr>
        <w:t>PROCESSUAL CIVIL. EMBARGOS DE DECLARAÇÃO. ART. 1.022 DO CPC/2015. EXECUÇÃO DE SENTENÇA DE HONORÁRIOS FIXADOS EM PROCESSO DE CONHECIMENTO. POSSIBILIDADE. FIXAÇÃO DA VERBA HONORÁRIA. INTEGRAÇÃO DO JULGADO. 1. O Recurso Especial foi provido por esta Segunda Turma, porquanto pacífico o entendimento no Superior Tribunal de Justiça segundo o qual é cabível o arbitramento de honorários na execução de sentença, ainda que o crédito exequendo se refira aos honorários advocatícios fixados na fase de conhecimento, sem que isso implique bis in idem, por se tratar de etapas processuais distintas. […] (EDcl no REsp 1648905/RS, Rel. Ministro HERMAN BENJAMIN, SEGUNDA TURMA, julgado em 05/11/2019, DJe 18/11/2019)</w:t>
      </w:r>
    </w:p>
    <w:p w14:paraId="3C4FFB30" w14:textId="77777777" w:rsidR="006F6E9E" w:rsidRPr="006F6E9E" w:rsidRDefault="006F6E9E" w:rsidP="006F6E9E">
      <w:pPr>
        <w:ind w:firstLine="1134"/>
        <w:jc w:val="both"/>
        <w:rPr>
          <w:rFonts w:ascii="Garamond" w:eastAsia="Times New Roman" w:hAnsi="Garamond" w:cs="Times New Roman"/>
          <w:color w:val="000000"/>
          <w:sz w:val="23"/>
          <w:szCs w:val="23"/>
        </w:rPr>
      </w:pPr>
    </w:p>
    <w:p w14:paraId="63643FD2" w14:textId="77777777" w:rsidR="006F6E9E" w:rsidRDefault="006F6E9E" w:rsidP="006F6E9E">
      <w:pPr>
        <w:ind w:firstLine="1134"/>
        <w:jc w:val="both"/>
        <w:rPr>
          <w:rFonts w:ascii="Garamond" w:eastAsia="Times New Roman" w:hAnsi="Garamond" w:cs="Times New Roman"/>
          <w:color w:val="000000"/>
          <w:sz w:val="23"/>
          <w:szCs w:val="23"/>
        </w:rPr>
      </w:pPr>
      <w:r w:rsidRPr="006F6E9E">
        <w:rPr>
          <w:rFonts w:ascii="Garamond" w:eastAsia="Times New Roman" w:hAnsi="Garamond" w:cs="Times New Roman"/>
          <w:color w:val="000000"/>
          <w:sz w:val="23"/>
          <w:szCs w:val="23"/>
        </w:rPr>
        <w:t>Ainda, a sucumbência mínima ocorre quando um dos litigantes decai em parte ínfima do pedido, situação na qual a parte adversa deverá arcar com a totalidade dos ônus sucumbenciais, na forma do parágrafo único do artigo 86 do Código de Processo Civil, hipótese que não se aplica ao caso dos autos.</w:t>
      </w:r>
    </w:p>
    <w:p w14:paraId="395419A5" w14:textId="77777777" w:rsidR="00577D27" w:rsidRPr="006F6E9E" w:rsidRDefault="00577D27" w:rsidP="006F6E9E">
      <w:pPr>
        <w:ind w:firstLine="1134"/>
        <w:jc w:val="both"/>
        <w:rPr>
          <w:rFonts w:ascii="Garamond" w:eastAsia="Times New Roman" w:hAnsi="Garamond" w:cs="Times New Roman"/>
          <w:color w:val="000000"/>
          <w:sz w:val="23"/>
          <w:szCs w:val="23"/>
        </w:rPr>
      </w:pPr>
    </w:p>
    <w:p w14:paraId="17F13DE6" w14:textId="1A02F299" w:rsidR="006F6E9E" w:rsidRPr="006F6E9E" w:rsidRDefault="006F6E9E" w:rsidP="006F6E9E">
      <w:pPr>
        <w:ind w:firstLine="1134"/>
        <w:jc w:val="both"/>
        <w:rPr>
          <w:rFonts w:ascii="Garamond" w:eastAsia="Times New Roman" w:hAnsi="Garamond" w:cs="Times New Roman"/>
          <w:color w:val="000000"/>
          <w:sz w:val="23"/>
          <w:szCs w:val="23"/>
        </w:rPr>
      </w:pPr>
      <w:r w:rsidRPr="006F6E9E">
        <w:rPr>
          <w:rFonts w:ascii="Garamond" w:eastAsia="Times New Roman" w:hAnsi="Garamond" w:cs="Times New Roman"/>
          <w:color w:val="000000"/>
          <w:sz w:val="23"/>
          <w:szCs w:val="23"/>
        </w:rPr>
        <w:t>Dessa forma, também se faz necessári</w:t>
      </w:r>
      <w:r w:rsidR="00577D27">
        <w:rPr>
          <w:rFonts w:ascii="Garamond" w:eastAsia="Times New Roman" w:hAnsi="Garamond" w:cs="Times New Roman"/>
          <w:color w:val="000000"/>
          <w:sz w:val="23"/>
          <w:szCs w:val="23"/>
        </w:rPr>
        <w:t>a</w:t>
      </w:r>
      <w:r w:rsidRPr="006F6E9E">
        <w:rPr>
          <w:rFonts w:ascii="Garamond" w:eastAsia="Times New Roman" w:hAnsi="Garamond" w:cs="Times New Roman"/>
          <w:color w:val="000000"/>
          <w:sz w:val="23"/>
          <w:szCs w:val="23"/>
        </w:rPr>
        <w:t xml:space="preserve"> a condenação do Executado ao pagamento de honorários advocatícios de dez por cento, nos termos do art. 523, §1º, do Código de Processo Civil.</w:t>
      </w:r>
    </w:p>
    <w:p w14:paraId="1CE05588" w14:textId="77777777" w:rsidR="006F6E9E" w:rsidRPr="006F6E9E" w:rsidRDefault="006F6E9E" w:rsidP="006F6E9E">
      <w:pPr>
        <w:ind w:firstLine="1134"/>
        <w:jc w:val="both"/>
        <w:rPr>
          <w:rFonts w:ascii="Garamond" w:eastAsia="Times New Roman" w:hAnsi="Garamond" w:cs="Times New Roman"/>
          <w:color w:val="000000"/>
          <w:sz w:val="23"/>
          <w:szCs w:val="23"/>
        </w:rPr>
      </w:pPr>
    </w:p>
    <w:p w14:paraId="653E05FD" w14:textId="77777777" w:rsidR="006F6E9E" w:rsidRPr="006F6E9E" w:rsidRDefault="006F6E9E" w:rsidP="006F6E9E">
      <w:pPr>
        <w:ind w:firstLine="1134"/>
        <w:jc w:val="both"/>
        <w:rPr>
          <w:rFonts w:ascii="Garamond" w:eastAsia="Times New Roman" w:hAnsi="Garamond" w:cs="Times New Roman"/>
          <w:color w:val="000000"/>
          <w:sz w:val="23"/>
          <w:szCs w:val="23"/>
        </w:rPr>
      </w:pPr>
      <w:r w:rsidRPr="006F6E9E">
        <w:rPr>
          <w:rFonts w:ascii="Garamond" w:eastAsia="Times New Roman" w:hAnsi="Garamond" w:cs="Times New Roman"/>
          <w:color w:val="000000"/>
          <w:sz w:val="23"/>
          <w:szCs w:val="23"/>
        </w:rPr>
        <w:t xml:space="preserve"> </w:t>
      </w:r>
    </w:p>
    <w:p w14:paraId="1778B4F9" w14:textId="7BE7FBD2" w:rsidR="006F6E9E" w:rsidRPr="006F6E9E" w:rsidRDefault="00577D27" w:rsidP="00577D27">
      <w:pPr>
        <w:jc w:val="center"/>
        <w:rPr>
          <w:rFonts w:ascii="Garamond" w:eastAsia="Times New Roman" w:hAnsi="Garamond" w:cs="Times New Roman"/>
          <w:b/>
          <w:bCs/>
          <w:color w:val="000000"/>
          <w:sz w:val="23"/>
          <w:szCs w:val="23"/>
        </w:rPr>
      </w:pPr>
      <w:r w:rsidRPr="00577D27">
        <w:rPr>
          <w:rFonts w:ascii="Garamond" w:eastAsia="Times New Roman" w:hAnsi="Garamond" w:cs="Times New Roman"/>
          <w:b/>
          <w:bCs/>
          <w:color w:val="000000"/>
          <w:sz w:val="23"/>
          <w:szCs w:val="23"/>
          <w:u w:val="single"/>
        </w:rPr>
        <w:t>CONCLUSÃO</w:t>
      </w:r>
    </w:p>
    <w:p w14:paraId="0CC363D1" w14:textId="77777777" w:rsidR="006F6E9E" w:rsidRPr="006F6E9E" w:rsidRDefault="006F6E9E" w:rsidP="006F6E9E">
      <w:pPr>
        <w:ind w:firstLine="1134"/>
        <w:jc w:val="both"/>
        <w:rPr>
          <w:rFonts w:ascii="Garamond" w:eastAsia="Times New Roman" w:hAnsi="Garamond" w:cs="Times New Roman"/>
          <w:color w:val="000000"/>
          <w:sz w:val="23"/>
          <w:szCs w:val="23"/>
        </w:rPr>
      </w:pPr>
    </w:p>
    <w:p w14:paraId="4F9EC053" w14:textId="31BEA84B" w:rsidR="00577D27" w:rsidRDefault="00577D27" w:rsidP="006F6E9E">
      <w:pPr>
        <w:ind w:firstLine="1134"/>
        <w:jc w:val="both"/>
        <w:rPr>
          <w:rFonts w:ascii="Garamond" w:eastAsia="Times New Roman" w:hAnsi="Garamond" w:cs="Times New Roman"/>
          <w:color w:val="000000"/>
          <w:sz w:val="23"/>
          <w:szCs w:val="23"/>
        </w:rPr>
      </w:pPr>
      <w:r w:rsidRPr="00577D27">
        <w:rPr>
          <w:rFonts w:ascii="Garamond" w:eastAsia="Times New Roman" w:hAnsi="Garamond" w:cs="Times New Roman"/>
          <w:color w:val="000000"/>
          <w:sz w:val="23"/>
          <w:szCs w:val="23"/>
        </w:rPr>
        <w:t xml:space="preserve">Ex positis, é o presente Recurso de Agravo de Instrumento para requerer que se digne esse Eg. Tribunal em reformar a r. decisão prolatada, reconhecendo </w:t>
      </w:r>
      <w:r w:rsidRPr="006F6E9E">
        <w:rPr>
          <w:rFonts w:ascii="Garamond" w:eastAsia="Times New Roman" w:hAnsi="Garamond" w:cs="Times New Roman"/>
          <w:color w:val="000000"/>
          <w:sz w:val="23"/>
          <w:szCs w:val="23"/>
        </w:rPr>
        <w:t>a</w:t>
      </w:r>
      <w:r w:rsidRPr="006F6E9E">
        <w:rPr>
          <w:rFonts w:ascii="Garamond" w:eastAsia="Times New Roman" w:hAnsi="Garamond" w:cs="Times New Roman"/>
          <w:b/>
          <w:bCs/>
          <w:color w:val="000000"/>
          <w:sz w:val="23"/>
          <w:szCs w:val="23"/>
        </w:rPr>
        <w:t xml:space="preserve"> aplicação como paradigma a avaliação do ano de 2001</w:t>
      </w:r>
      <w:r>
        <w:rPr>
          <w:rFonts w:ascii="Garamond" w:eastAsia="Times New Roman" w:hAnsi="Garamond" w:cs="Times New Roman"/>
          <w:b/>
          <w:bCs/>
          <w:color w:val="000000"/>
          <w:sz w:val="23"/>
          <w:szCs w:val="23"/>
        </w:rPr>
        <w:t xml:space="preserve"> </w:t>
      </w:r>
      <w:r>
        <w:rPr>
          <w:rFonts w:ascii="Garamond" w:eastAsia="Times New Roman" w:hAnsi="Garamond" w:cs="Times New Roman"/>
          <w:color w:val="000000"/>
          <w:sz w:val="23"/>
          <w:szCs w:val="23"/>
        </w:rPr>
        <w:t xml:space="preserve">bem como determinando a </w:t>
      </w:r>
      <w:r w:rsidRPr="006F6E9E">
        <w:rPr>
          <w:rFonts w:ascii="Garamond" w:eastAsia="Times New Roman" w:hAnsi="Garamond" w:cs="Times New Roman"/>
          <w:color w:val="000000"/>
          <w:sz w:val="23"/>
          <w:szCs w:val="23"/>
        </w:rPr>
        <w:t>condenação do Executado ao pagamento de honorários advocatícios de dez por cento, nos termos do art. 523, §1º, do Código de Processo Civil</w:t>
      </w:r>
      <w:r w:rsidRPr="00577D27">
        <w:rPr>
          <w:rFonts w:ascii="Garamond" w:eastAsia="Times New Roman" w:hAnsi="Garamond" w:cs="Times New Roman"/>
          <w:color w:val="000000"/>
          <w:sz w:val="23"/>
          <w:szCs w:val="23"/>
        </w:rPr>
        <w:t>.</w:t>
      </w:r>
    </w:p>
    <w:p w14:paraId="6667E012" w14:textId="77777777" w:rsidR="00577D27" w:rsidRDefault="00577D27" w:rsidP="006F6E9E">
      <w:pPr>
        <w:ind w:firstLine="1134"/>
        <w:jc w:val="both"/>
        <w:rPr>
          <w:rFonts w:ascii="Garamond" w:eastAsia="Times New Roman" w:hAnsi="Garamond" w:cs="Times New Roman"/>
          <w:color w:val="000000"/>
          <w:sz w:val="23"/>
          <w:szCs w:val="23"/>
        </w:rPr>
      </w:pPr>
    </w:p>
    <w:p w14:paraId="3D00F84E" w14:textId="77777777" w:rsidR="00AB1F4B" w:rsidRDefault="00000000" w:rsidP="006F6E9E">
      <w:pPr>
        <w:pBdr>
          <w:top w:val="nil"/>
          <w:left w:val="nil"/>
          <w:bottom w:val="nil"/>
          <w:right w:val="nil"/>
          <w:between w:val="nil"/>
        </w:pBdr>
        <w:tabs>
          <w:tab w:val="left" w:pos="0"/>
        </w:tabs>
        <w:spacing w:line="360" w:lineRule="auto"/>
        <w:ind w:firstLine="1260"/>
        <w:jc w:val="both"/>
        <w:rPr>
          <w:rFonts w:ascii="Garamond" w:eastAsia="Garamond" w:hAnsi="Garamond" w:cs="Garamond"/>
          <w:color w:val="000000"/>
          <w:sz w:val="23"/>
          <w:szCs w:val="23"/>
        </w:rPr>
      </w:pPr>
      <w:r>
        <w:rPr>
          <w:rFonts w:ascii="Garamond" w:eastAsia="Garamond" w:hAnsi="Garamond" w:cs="Garamond"/>
          <w:color w:val="000000"/>
          <w:sz w:val="23"/>
          <w:szCs w:val="23"/>
        </w:rPr>
        <w:t xml:space="preserve">Hans Kelsen, ao descrever o Direito a partir de sua Teoria Pura, disserta que a interpretação jurídica não é um ato de conhecimento, de simples identificação da norma com o fato concreto, mas, sim, </w:t>
      </w:r>
      <w:r>
        <w:rPr>
          <w:rFonts w:ascii="Garamond" w:eastAsia="Garamond" w:hAnsi="Garamond" w:cs="Garamond"/>
          <w:color w:val="000000"/>
          <w:sz w:val="23"/>
          <w:szCs w:val="23"/>
        </w:rPr>
        <w:lastRenderedPageBreak/>
        <w:t xml:space="preserve">como um ato volitivo, ou seja, de vontade. Desse modo, mesmo que a norma hierarquicamente superior estipule uma moldura interpretativa, o juízo não está vinculado a ela e pode, de acordo com sua vontade, interpretar de modo diferente. </w:t>
      </w:r>
    </w:p>
    <w:p w14:paraId="6942AD7D" w14:textId="77777777" w:rsidR="00AB1F4B" w:rsidRDefault="00AB1F4B" w:rsidP="006F6E9E">
      <w:pPr>
        <w:pBdr>
          <w:top w:val="nil"/>
          <w:left w:val="nil"/>
          <w:bottom w:val="nil"/>
          <w:right w:val="nil"/>
          <w:between w:val="nil"/>
        </w:pBdr>
        <w:tabs>
          <w:tab w:val="left" w:pos="0"/>
        </w:tabs>
        <w:ind w:firstLine="1260"/>
        <w:jc w:val="both"/>
        <w:rPr>
          <w:rFonts w:ascii="Garamond" w:eastAsia="Garamond" w:hAnsi="Garamond" w:cs="Garamond"/>
          <w:sz w:val="23"/>
          <w:szCs w:val="23"/>
        </w:rPr>
      </w:pPr>
    </w:p>
    <w:p w14:paraId="3E06767E" w14:textId="1BA1566D" w:rsidR="00AB1F4B" w:rsidRDefault="00000000" w:rsidP="006F6E9E">
      <w:pPr>
        <w:pBdr>
          <w:top w:val="nil"/>
          <w:left w:val="nil"/>
          <w:bottom w:val="nil"/>
          <w:right w:val="nil"/>
          <w:between w:val="nil"/>
        </w:pBdr>
        <w:tabs>
          <w:tab w:val="left" w:pos="0"/>
        </w:tabs>
        <w:spacing w:line="360" w:lineRule="auto"/>
        <w:ind w:firstLine="1260"/>
        <w:jc w:val="both"/>
        <w:rPr>
          <w:rFonts w:ascii="Garamond" w:eastAsia="Garamond" w:hAnsi="Garamond" w:cs="Garamond"/>
          <w:color w:val="000000"/>
          <w:sz w:val="23"/>
          <w:szCs w:val="23"/>
        </w:rPr>
      </w:pPr>
      <w:r>
        <w:rPr>
          <w:rFonts w:ascii="Garamond" w:eastAsia="Garamond" w:hAnsi="Garamond" w:cs="Garamond"/>
          <w:color w:val="000000"/>
          <w:sz w:val="23"/>
          <w:szCs w:val="23"/>
        </w:rPr>
        <w:t xml:space="preserve">Ocorre que, não havendo instâncias superiores de correção e verificação interpretativa, tal sistema jurídico ficaria à mercê da vontade dos juízes e não da norma, propriamente dita, como universal e impessoal. </w:t>
      </w:r>
      <w:r>
        <w:rPr>
          <w:rFonts w:ascii="Garamond" w:eastAsia="Garamond" w:hAnsi="Garamond" w:cs="Garamond"/>
          <w:b/>
          <w:color w:val="000000"/>
          <w:sz w:val="23"/>
          <w:szCs w:val="23"/>
        </w:rPr>
        <w:t xml:space="preserve">Justamente por isso, os Tribunais de Justiça, enquanto órgãos de revisão, possuem um papel imprescindível para dirimir a vontade individual a fim de que prevaleça o desejo normativo, qual seja, no presente caso, </w:t>
      </w:r>
      <w:r w:rsidR="00577D27">
        <w:rPr>
          <w:rFonts w:ascii="Garamond" w:eastAsia="Garamond" w:hAnsi="Garamond" w:cs="Garamond"/>
          <w:b/>
          <w:color w:val="000000"/>
          <w:sz w:val="23"/>
          <w:szCs w:val="23"/>
        </w:rPr>
        <w:t>a determinação dos parâmetros corretos para liquidação individual da sentença</w:t>
      </w:r>
      <w:r>
        <w:rPr>
          <w:rFonts w:ascii="Garamond" w:eastAsia="Garamond" w:hAnsi="Garamond" w:cs="Garamond"/>
          <w:b/>
          <w:color w:val="000000"/>
          <w:sz w:val="23"/>
          <w:szCs w:val="23"/>
        </w:rPr>
        <w:t>.</w:t>
      </w:r>
    </w:p>
    <w:p w14:paraId="18FC90B3" w14:textId="77777777" w:rsidR="00AB1F4B" w:rsidRDefault="00AB1F4B" w:rsidP="006F6E9E">
      <w:pPr>
        <w:pBdr>
          <w:top w:val="nil"/>
          <w:left w:val="nil"/>
          <w:bottom w:val="nil"/>
          <w:right w:val="nil"/>
          <w:between w:val="nil"/>
        </w:pBdr>
        <w:tabs>
          <w:tab w:val="left" w:pos="0"/>
        </w:tabs>
        <w:ind w:firstLine="1260"/>
        <w:jc w:val="both"/>
        <w:rPr>
          <w:rFonts w:ascii="Garamond" w:eastAsia="Garamond" w:hAnsi="Garamond" w:cs="Garamond"/>
          <w:color w:val="000000"/>
          <w:sz w:val="23"/>
          <w:szCs w:val="23"/>
        </w:rPr>
      </w:pPr>
    </w:p>
    <w:p w14:paraId="2C47DD19" w14:textId="77777777" w:rsidR="00AB1F4B" w:rsidRDefault="00000000" w:rsidP="006F6E9E">
      <w:pPr>
        <w:pBdr>
          <w:top w:val="nil"/>
          <w:left w:val="nil"/>
          <w:bottom w:val="nil"/>
          <w:right w:val="nil"/>
          <w:between w:val="nil"/>
        </w:pBdr>
        <w:tabs>
          <w:tab w:val="left" w:pos="0"/>
        </w:tabs>
        <w:spacing w:line="360" w:lineRule="auto"/>
        <w:ind w:firstLine="1260"/>
        <w:jc w:val="both"/>
        <w:rPr>
          <w:rFonts w:ascii="Garamond" w:eastAsia="Garamond" w:hAnsi="Garamond" w:cs="Garamond"/>
          <w:color w:val="000000"/>
          <w:sz w:val="23"/>
          <w:szCs w:val="23"/>
        </w:rPr>
      </w:pPr>
      <w:r>
        <w:rPr>
          <w:rFonts w:ascii="Garamond" w:eastAsia="Garamond" w:hAnsi="Garamond" w:cs="Garamond"/>
          <w:color w:val="000000"/>
          <w:sz w:val="23"/>
          <w:szCs w:val="23"/>
        </w:rPr>
        <w:t xml:space="preserve">Requer, por fim, para efeito de comunicação dos atos processuais e em atenção ao disposto no Art. 39, I, do CPC, que todas as intimações e/publicações sejam feitas em nome dos advogados </w:t>
      </w:r>
      <w:r>
        <w:rPr>
          <w:rFonts w:ascii="Garamond" w:eastAsia="Garamond" w:hAnsi="Garamond" w:cs="Garamond"/>
          <w:b/>
          <w:smallCaps/>
          <w:color w:val="000000"/>
          <w:sz w:val="23"/>
          <w:szCs w:val="23"/>
        </w:rPr>
        <w:t xml:space="preserve">Liz Werner Formaggini, </w:t>
      </w:r>
      <w:r>
        <w:rPr>
          <w:rFonts w:ascii="Garamond" w:eastAsia="Garamond" w:hAnsi="Garamond" w:cs="Garamond"/>
          <w:color w:val="000000"/>
          <w:sz w:val="23"/>
          <w:szCs w:val="23"/>
        </w:rPr>
        <w:t>brasileira, solteira, advogada, inscrita na OAB/RJ sob o nº 184.888</w:t>
      </w:r>
      <w:r>
        <w:rPr>
          <w:rFonts w:ascii="Garamond" w:eastAsia="Garamond" w:hAnsi="Garamond" w:cs="Garamond"/>
          <w:smallCaps/>
          <w:color w:val="000000"/>
          <w:sz w:val="23"/>
          <w:szCs w:val="23"/>
        </w:rPr>
        <w:t xml:space="preserve"> </w:t>
      </w:r>
      <w:r>
        <w:rPr>
          <w:rFonts w:ascii="Garamond" w:eastAsia="Garamond" w:hAnsi="Garamond" w:cs="Garamond"/>
          <w:b/>
          <w:smallCaps/>
          <w:color w:val="000000"/>
          <w:sz w:val="23"/>
          <w:szCs w:val="23"/>
        </w:rPr>
        <w:t xml:space="preserve">Thiago José Aguiar da Silva, </w:t>
      </w:r>
      <w:r>
        <w:rPr>
          <w:rFonts w:ascii="Garamond" w:eastAsia="Garamond" w:hAnsi="Garamond" w:cs="Garamond"/>
          <w:color w:val="000000"/>
          <w:sz w:val="23"/>
          <w:szCs w:val="23"/>
        </w:rPr>
        <w:t>brasileiro, solteiro, advogado, inscrito na OAB/RJ nº 213.181 e</w:t>
      </w:r>
      <w:r>
        <w:rPr>
          <w:rFonts w:ascii="Garamond" w:eastAsia="Garamond" w:hAnsi="Garamond" w:cs="Garamond"/>
          <w:b/>
          <w:smallCaps/>
          <w:color w:val="000000"/>
          <w:sz w:val="23"/>
          <w:szCs w:val="23"/>
        </w:rPr>
        <w:t xml:space="preserve"> Lucio Masullo</w:t>
      </w:r>
      <w:r>
        <w:rPr>
          <w:rFonts w:ascii="Garamond" w:eastAsia="Garamond" w:hAnsi="Garamond" w:cs="Garamond"/>
          <w:color w:val="000000"/>
          <w:sz w:val="23"/>
          <w:szCs w:val="23"/>
        </w:rPr>
        <w:t>, brasileiro, casado, advogado, inscrito na OAB/RJ nº 82.064, com endereço profissional na Rua Visconde do Rio Branco, 305, sala 606, Centro, Niterói-RJ, CEP: 24.020-002,</w:t>
      </w:r>
      <w:r>
        <w:rPr>
          <w:rFonts w:ascii="Garamond" w:eastAsia="Garamond" w:hAnsi="Garamond" w:cs="Garamond"/>
          <w:b/>
          <w:smallCaps/>
          <w:color w:val="000000"/>
          <w:sz w:val="23"/>
          <w:szCs w:val="23"/>
        </w:rPr>
        <w:t xml:space="preserve"> </w:t>
      </w:r>
      <w:r>
        <w:rPr>
          <w:rFonts w:ascii="Garamond" w:eastAsia="Garamond" w:hAnsi="Garamond" w:cs="Garamond"/>
          <w:color w:val="000000"/>
          <w:sz w:val="23"/>
          <w:szCs w:val="23"/>
        </w:rPr>
        <w:t>que subscrevem esta petição, sob pena de nulidade.</w:t>
      </w:r>
    </w:p>
    <w:p w14:paraId="5BF9D927" w14:textId="77777777" w:rsidR="00AB1F4B" w:rsidRDefault="00AB1F4B" w:rsidP="00577D27">
      <w:pPr>
        <w:pBdr>
          <w:top w:val="nil"/>
          <w:left w:val="nil"/>
          <w:bottom w:val="nil"/>
          <w:right w:val="nil"/>
          <w:between w:val="nil"/>
        </w:pBdr>
        <w:tabs>
          <w:tab w:val="left" w:pos="0"/>
        </w:tabs>
        <w:ind w:firstLine="1260"/>
        <w:jc w:val="both"/>
        <w:rPr>
          <w:rFonts w:ascii="Garamond" w:eastAsia="Garamond" w:hAnsi="Garamond" w:cs="Garamond"/>
          <w:color w:val="000000"/>
          <w:sz w:val="23"/>
          <w:szCs w:val="23"/>
        </w:rPr>
      </w:pPr>
    </w:p>
    <w:p w14:paraId="1B0C9B8A" w14:textId="77777777" w:rsidR="00AB1F4B" w:rsidRDefault="00AB1F4B">
      <w:pPr>
        <w:jc w:val="both"/>
        <w:rPr>
          <w:rFonts w:ascii="Garamond" w:eastAsia="Garamond" w:hAnsi="Garamond" w:cs="Garamond"/>
          <w:sz w:val="23"/>
          <w:szCs w:val="23"/>
        </w:rPr>
      </w:pPr>
    </w:p>
    <w:p w14:paraId="4DB7C5F6" w14:textId="77777777" w:rsidR="00AB1F4B" w:rsidRDefault="00000000">
      <w:pPr>
        <w:spacing w:line="360" w:lineRule="auto"/>
        <w:ind w:firstLine="1134"/>
        <w:jc w:val="both"/>
        <w:rPr>
          <w:rFonts w:ascii="Garamond" w:eastAsia="Garamond" w:hAnsi="Garamond" w:cs="Garamond"/>
          <w:sz w:val="23"/>
          <w:szCs w:val="23"/>
        </w:rPr>
      </w:pPr>
      <w:r>
        <w:rPr>
          <w:rFonts w:ascii="Garamond" w:eastAsia="Garamond" w:hAnsi="Garamond" w:cs="Garamond"/>
          <w:sz w:val="23"/>
          <w:szCs w:val="23"/>
        </w:rPr>
        <w:t>Por fim, requer a gratuidade de justiça ou que seja estendida a este recurso a gratuidade deferida nos autos principais</w:t>
      </w:r>
    </w:p>
    <w:p w14:paraId="1E325D7D" w14:textId="77777777" w:rsidR="00AB1F4B" w:rsidRDefault="00000000">
      <w:pPr>
        <w:spacing w:line="360" w:lineRule="auto"/>
        <w:jc w:val="center"/>
        <w:rPr>
          <w:rFonts w:ascii="Garamond" w:eastAsia="Garamond" w:hAnsi="Garamond" w:cs="Garamond"/>
          <w:sz w:val="23"/>
          <w:szCs w:val="23"/>
        </w:rPr>
      </w:pPr>
      <w:r>
        <w:rPr>
          <w:rFonts w:ascii="Garamond" w:eastAsia="Garamond" w:hAnsi="Garamond" w:cs="Garamond"/>
          <w:sz w:val="23"/>
          <w:szCs w:val="23"/>
        </w:rPr>
        <w:t>Nestes termos, pede deferimento.</w:t>
      </w:r>
    </w:p>
    <w:p w14:paraId="0D394633" w14:textId="3A6FBEBC" w:rsidR="00AB1F4B" w:rsidRDefault="00000000">
      <w:pPr>
        <w:spacing w:line="360" w:lineRule="auto"/>
        <w:jc w:val="center"/>
        <w:rPr>
          <w:rFonts w:ascii="Garamond" w:eastAsia="Garamond" w:hAnsi="Garamond" w:cs="Garamond"/>
          <w:sz w:val="23"/>
          <w:szCs w:val="23"/>
        </w:rPr>
      </w:pPr>
      <w:r>
        <w:rPr>
          <w:rFonts w:ascii="Garamond" w:eastAsia="Garamond" w:hAnsi="Garamond" w:cs="Garamond"/>
          <w:sz w:val="23"/>
          <w:szCs w:val="23"/>
        </w:rPr>
        <w:t xml:space="preserve">Niterói. </w:t>
      </w:r>
      <w:r w:rsidR="00A43437">
        <w:rPr>
          <w:rFonts w:ascii="Garamond" w:eastAsia="Garamond" w:hAnsi="Garamond" w:cs="Garamond"/>
          <w:sz w:val="23"/>
          <w:szCs w:val="23"/>
        </w:rPr>
        <w:t>24 de janeiro de 2024</w:t>
      </w:r>
      <w:r>
        <w:rPr>
          <w:rFonts w:ascii="Garamond" w:eastAsia="Garamond" w:hAnsi="Garamond" w:cs="Garamond"/>
          <w:sz w:val="23"/>
          <w:szCs w:val="23"/>
        </w:rPr>
        <w:t>.</w:t>
      </w:r>
    </w:p>
    <w:p w14:paraId="6946D86F" w14:textId="77777777" w:rsidR="00AB1F4B" w:rsidRDefault="00AB1F4B">
      <w:pPr>
        <w:jc w:val="center"/>
        <w:rPr>
          <w:rFonts w:ascii="Garamond" w:eastAsia="Garamond" w:hAnsi="Garamond" w:cs="Garamond"/>
          <w:sz w:val="23"/>
          <w:szCs w:val="23"/>
        </w:rPr>
      </w:pPr>
    </w:p>
    <w:p w14:paraId="5DEA0638" w14:textId="77777777" w:rsidR="00AB1F4B" w:rsidRDefault="00AB1F4B">
      <w:pPr>
        <w:spacing w:line="360" w:lineRule="auto"/>
        <w:jc w:val="center"/>
        <w:rPr>
          <w:rFonts w:ascii="Garamond" w:eastAsia="Garamond" w:hAnsi="Garamond" w:cs="Garamond"/>
          <w:sz w:val="23"/>
          <w:szCs w:val="23"/>
        </w:rPr>
      </w:pPr>
    </w:p>
    <w:tbl>
      <w:tblPr>
        <w:tblStyle w:val="af6"/>
        <w:tblW w:w="9628" w:type="dxa"/>
        <w:tblBorders>
          <w:top w:val="nil"/>
          <w:left w:val="nil"/>
          <w:bottom w:val="nil"/>
          <w:right w:val="nil"/>
          <w:insideH w:val="nil"/>
          <w:insideV w:val="nil"/>
        </w:tblBorders>
        <w:tblLayout w:type="fixed"/>
        <w:tblLook w:val="0400" w:firstRow="0" w:lastRow="0" w:firstColumn="0" w:lastColumn="0" w:noHBand="0" w:noVBand="1"/>
      </w:tblPr>
      <w:tblGrid>
        <w:gridCol w:w="3209"/>
        <w:gridCol w:w="3209"/>
        <w:gridCol w:w="3210"/>
      </w:tblGrid>
      <w:tr w:rsidR="00AB1F4B" w14:paraId="467DA40F" w14:textId="77777777">
        <w:tc>
          <w:tcPr>
            <w:tcW w:w="3209" w:type="dxa"/>
          </w:tcPr>
          <w:p w14:paraId="75FD81C2" w14:textId="77777777" w:rsidR="00AB1F4B" w:rsidRDefault="00000000">
            <w:pPr>
              <w:jc w:val="center"/>
              <w:rPr>
                <w:rFonts w:ascii="Garamond" w:eastAsia="Garamond" w:hAnsi="Garamond" w:cs="Garamond"/>
                <w:b/>
                <w:smallCaps/>
                <w:color w:val="000000"/>
                <w:sz w:val="23"/>
                <w:szCs w:val="23"/>
              </w:rPr>
            </w:pPr>
            <w:r>
              <w:rPr>
                <w:rFonts w:ascii="Garamond" w:eastAsia="Garamond" w:hAnsi="Garamond" w:cs="Garamond"/>
                <w:b/>
                <w:smallCaps/>
                <w:color w:val="000000"/>
                <w:sz w:val="23"/>
                <w:szCs w:val="23"/>
              </w:rPr>
              <w:t>Liz Werner</w:t>
            </w:r>
          </w:p>
          <w:p w14:paraId="1967F381" w14:textId="77777777" w:rsidR="00AB1F4B" w:rsidRDefault="00000000">
            <w:pPr>
              <w:jc w:val="center"/>
              <w:rPr>
                <w:rFonts w:ascii="Garamond" w:eastAsia="Garamond" w:hAnsi="Garamond" w:cs="Garamond"/>
                <w:sz w:val="23"/>
                <w:szCs w:val="23"/>
              </w:rPr>
            </w:pPr>
            <w:r>
              <w:rPr>
                <w:rFonts w:ascii="Garamond" w:eastAsia="Garamond" w:hAnsi="Garamond" w:cs="Garamond"/>
                <w:b/>
                <w:sz w:val="23"/>
                <w:szCs w:val="23"/>
              </w:rPr>
              <w:t>OAB/RJ 184.888</w:t>
            </w:r>
          </w:p>
        </w:tc>
        <w:tc>
          <w:tcPr>
            <w:tcW w:w="3209" w:type="dxa"/>
          </w:tcPr>
          <w:p w14:paraId="43F55170" w14:textId="77777777" w:rsidR="00AB1F4B" w:rsidRDefault="00000000">
            <w:pPr>
              <w:jc w:val="center"/>
              <w:rPr>
                <w:rFonts w:ascii="Garamond" w:eastAsia="Garamond" w:hAnsi="Garamond" w:cs="Garamond"/>
                <w:b/>
                <w:smallCaps/>
                <w:color w:val="000000"/>
                <w:sz w:val="23"/>
                <w:szCs w:val="23"/>
              </w:rPr>
            </w:pPr>
            <w:r>
              <w:rPr>
                <w:rFonts w:ascii="Garamond" w:eastAsia="Garamond" w:hAnsi="Garamond" w:cs="Garamond"/>
                <w:b/>
                <w:smallCaps/>
                <w:color w:val="000000"/>
                <w:sz w:val="23"/>
                <w:szCs w:val="23"/>
              </w:rPr>
              <w:t>Thiago José Aguiar</w:t>
            </w:r>
          </w:p>
          <w:p w14:paraId="35420AA8" w14:textId="77777777" w:rsidR="00AB1F4B" w:rsidRDefault="00000000">
            <w:pPr>
              <w:jc w:val="center"/>
              <w:rPr>
                <w:rFonts w:ascii="Garamond" w:eastAsia="Garamond" w:hAnsi="Garamond" w:cs="Garamond"/>
                <w:b/>
                <w:smallCaps/>
                <w:color w:val="000000"/>
                <w:sz w:val="23"/>
                <w:szCs w:val="23"/>
              </w:rPr>
            </w:pPr>
            <w:r>
              <w:rPr>
                <w:rFonts w:ascii="Garamond" w:eastAsia="Garamond" w:hAnsi="Garamond" w:cs="Garamond"/>
                <w:b/>
                <w:smallCaps/>
                <w:color w:val="000000"/>
                <w:sz w:val="23"/>
                <w:szCs w:val="23"/>
              </w:rPr>
              <w:t>OAB/RJ 213.181</w:t>
            </w:r>
          </w:p>
        </w:tc>
        <w:tc>
          <w:tcPr>
            <w:tcW w:w="3210" w:type="dxa"/>
          </w:tcPr>
          <w:p w14:paraId="419FA81F" w14:textId="77777777" w:rsidR="00AB1F4B" w:rsidRDefault="00000000">
            <w:pPr>
              <w:jc w:val="center"/>
              <w:rPr>
                <w:rFonts w:ascii="Garamond" w:eastAsia="Garamond" w:hAnsi="Garamond" w:cs="Garamond"/>
                <w:b/>
                <w:smallCaps/>
                <w:color w:val="000000"/>
                <w:sz w:val="23"/>
                <w:szCs w:val="23"/>
              </w:rPr>
            </w:pPr>
            <w:r>
              <w:rPr>
                <w:rFonts w:ascii="Garamond" w:eastAsia="Garamond" w:hAnsi="Garamond" w:cs="Garamond"/>
                <w:b/>
                <w:smallCaps/>
                <w:color w:val="000000"/>
                <w:sz w:val="23"/>
                <w:szCs w:val="23"/>
              </w:rPr>
              <w:t>Lucio Masullo</w:t>
            </w:r>
          </w:p>
          <w:p w14:paraId="250185FB" w14:textId="77777777" w:rsidR="00AB1F4B" w:rsidRDefault="00000000">
            <w:pPr>
              <w:jc w:val="center"/>
              <w:rPr>
                <w:rFonts w:ascii="Garamond" w:eastAsia="Garamond" w:hAnsi="Garamond" w:cs="Garamond"/>
                <w:sz w:val="23"/>
                <w:szCs w:val="23"/>
              </w:rPr>
            </w:pPr>
            <w:r>
              <w:rPr>
                <w:rFonts w:ascii="Garamond" w:eastAsia="Garamond" w:hAnsi="Garamond" w:cs="Garamond"/>
                <w:b/>
                <w:smallCaps/>
                <w:color w:val="000000"/>
                <w:sz w:val="23"/>
                <w:szCs w:val="23"/>
              </w:rPr>
              <w:t>OAB/RJ 82.064</w:t>
            </w:r>
          </w:p>
        </w:tc>
      </w:tr>
    </w:tbl>
    <w:p w14:paraId="5D0B9DED" w14:textId="77777777" w:rsidR="00AB1F4B" w:rsidRDefault="00AB1F4B">
      <w:pPr>
        <w:spacing w:line="360" w:lineRule="auto"/>
        <w:rPr>
          <w:rFonts w:ascii="Garamond" w:eastAsia="Garamond" w:hAnsi="Garamond" w:cs="Garamond"/>
          <w:sz w:val="23"/>
          <w:szCs w:val="23"/>
        </w:rPr>
      </w:pPr>
    </w:p>
    <w:sectPr w:rsidR="00AB1F4B">
      <w:headerReference w:type="default" r:id="rId10"/>
      <w:footerReference w:type="default" r:id="rId11"/>
      <w:pgSz w:w="11906" w:h="16838"/>
      <w:pgMar w:top="2127" w:right="1134" w:bottom="720" w:left="1134" w:header="709" w:footer="26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9E158" w14:textId="77777777" w:rsidR="00116887" w:rsidRDefault="00116887">
      <w:r>
        <w:separator/>
      </w:r>
    </w:p>
  </w:endnote>
  <w:endnote w:type="continuationSeparator" w:id="0">
    <w:p w14:paraId="19E91092" w14:textId="77777777" w:rsidR="00116887" w:rsidRDefault="00116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B2A3A" w14:textId="77777777" w:rsidR="00AB1F4B" w:rsidRDefault="00000000">
    <w:pPr>
      <w:pBdr>
        <w:top w:val="nil"/>
        <w:left w:val="nil"/>
        <w:bottom w:val="nil"/>
        <w:right w:val="nil"/>
        <w:between w:val="nil"/>
      </w:pBdr>
      <w:tabs>
        <w:tab w:val="center" w:pos="4252"/>
        <w:tab w:val="right" w:pos="8504"/>
      </w:tabs>
      <w:rPr>
        <w:color w:val="000000"/>
        <w:sz w:val="22"/>
        <w:szCs w:val="22"/>
      </w:rPr>
    </w:pPr>
    <w:r>
      <w:rPr>
        <w:noProof/>
      </w:rPr>
      <w:drawing>
        <wp:anchor distT="0" distB="0" distL="0" distR="0" simplePos="0" relativeHeight="251660288" behindDoc="1" locked="0" layoutInCell="1" hidden="0" allowOverlap="1" wp14:anchorId="0A9EEF24" wp14:editId="0E48E99C">
          <wp:simplePos x="0" y="0"/>
          <wp:positionH relativeFrom="column">
            <wp:posOffset>-616581</wp:posOffset>
          </wp:positionH>
          <wp:positionV relativeFrom="paragraph">
            <wp:posOffset>24130</wp:posOffset>
          </wp:positionV>
          <wp:extent cx="7343775" cy="233045"/>
          <wp:effectExtent l="0" t="0" r="0" b="0"/>
          <wp:wrapNone/>
          <wp:docPr id="14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343775" cy="233045"/>
                  </a:xfrm>
                  <a:prstGeom prst="rect">
                    <a:avLst/>
                  </a:prstGeom>
                  <a:ln/>
                </pic:spPr>
              </pic:pic>
            </a:graphicData>
          </a:graphic>
        </wp:anchor>
      </w:drawing>
    </w:r>
  </w:p>
  <w:p w14:paraId="7E3FE2C9" w14:textId="77777777" w:rsidR="00AB1F4B" w:rsidRDefault="00000000">
    <w:pPr>
      <w:pBdr>
        <w:top w:val="nil"/>
        <w:left w:val="nil"/>
        <w:bottom w:val="nil"/>
        <w:right w:val="nil"/>
        <w:between w:val="nil"/>
      </w:pBdr>
      <w:tabs>
        <w:tab w:val="center" w:pos="4252"/>
        <w:tab w:val="right" w:pos="8504"/>
      </w:tabs>
      <w:jc w:val="center"/>
      <w:rPr>
        <w:color w:val="000000"/>
        <w:sz w:val="22"/>
        <w:szCs w:val="22"/>
      </w:rPr>
    </w:pPr>
    <w:r>
      <w:rPr>
        <w:noProof/>
      </w:rPr>
      <w:drawing>
        <wp:anchor distT="0" distB="0" distL="0" distR="0" simplePos="0" relativeHeight="251661312" behindDoc="1" locked="0" layoutInCell="1" hidden="0" allowOverlap="1" wp14:anchorId="1E36BB9F" wp14:editId="34C89436">
          <wp:simplePos x="0" y="0"/>
          <wp:positionH relativeFrom="column">
            <wp:posOffset>0</wp:posOffset>
          </wp:positionH>
          <wp:positionV relativeFrom="paragraph">
            <wp:posOffset>46990</wp:posOffset>
          </wp:positionV>
          <wp:extent cx="1228090" cy="495300"/>
          <wp:effectExtent l="0" t="0" r="0" b="0"/>
          <wp:wrapNone/>
          <wp:docPr id="14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
                  <a:srcRect/>
                  <a:stretch>
                    <a:fillRect/>
                  </a:stretch>
                </pic:blipFill>
                <pic:spPr>
                  <a:xfrm>
                    <a:off x="0" y="0"/>
                    <a:ext cx="1228090" cy="495300"/>
                  </a:xfrm>
                  <a:prstGeom prst="rect">
                    <a:avLst/>
                  </a:prstGeom>
                  <a:ln/>
                </pic:spPr>
              </pic:pic>
            </a:graphicData>
          </a:graphic>
        </wp:anchor>
      </w:drawing>
    </w:r>
    <w:r>
      <w:rPr>
        <w:noProof/>
      </w:rPr>
      <w:drawing>
        <wp:anchor distT="0" distB="0" distL="0" distR="0" simplePos="0" relativeHeight="251662336" behindDoc="1" locked="0" layoutInCell="1" hidden="0" allowOverlap="1" wp14:anchorId="0DEAA01B" wp14:editId="7D0CE008">
          <wp:simplePos x="0" y="0"/>
          <wp:positionH relativeFrom="column">
            <wp:posOffset>4653280</wp:posOffset>
          </wp:positionH>
          <wp:positionV relativeFrom="paragraph">
            <wp:posOffset>46990</wp:posOffset>
          </wp:positionV>
          <wp:extent cx="1459865" cy="590550"/>
          <wp:effectExtent l="0" t="0" r="0" b="0"/>
          <wp:wrapNone/>
          <wp:docPr id="14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
                  <a:srcRect/>
                  <a:stretch>
                    <a:fillRect/>
                  </a:stretch>
                </pic:blipFill>
                <pic:spPr>
                  <a:xfrm>
                    <a:off x="0" y="0"/>
                    <a:ext cx="1459865" cy="590550"/>
                  </a:xfrm>
                  <a:prstGeom prst="rect">
                    <a:avLst/>
                  </a:prstGeom>
                  <a:ln/>
                </pic:spPr>
              </pic:pic>
            </a:graphicData>
          </a:graphic>
        </wp:anchor>
      </w:drawing>
    </w:r>
  </w:p>
  <w:p w14:paraId="73EC328D" w14:textId="77777777" w:rsidR="00AB1F4B" w:rsidRDefault="00AB1F4B">
    <w:pPr>
      <w:pBdr>
        <w:top w:val="nil"/>
        <w:left w:val="nil"/>
        <w:bottom w:val="nil"/>
        <w:right w:val="nil"/>
        <w:between w:val="nil"/>
      </w:pBdr>
      <w:tabs>
        <w:tab w:val="center" w:pos="4252"/>
        <w:tab w:val="right" w:pos="8504"/>
      </w:tabs>
      <w:jc w:val="center"/>
      <w:rPr>
        <w:color w:val="000000"/>
        <w:sz w:val="22"/>
        <w:szCs w:val="22"/>
      </w:rPr>
    </w:pPr>
  </w:p>
  <w:p w14:paraId="475C3D0A" w14:textId="77777777" w:rsidR="00AB1F4B" w:rsidRDefault="00000000">
    <w:pPr>
      <w:pBdr>
        <w:top w:val="nil"/>
        <w:left w:val="nil"/>
        <w:bottom w:val="nil"/>
        <w:right w:val="nil"/>
        <w:between w:val="nil"/>
      </w:pBdr>
      <w:tabs>
        <w:tab w:val="center" w:pos="4252"/>
        <w:tab w:val="right" w:pos="8504"/>
      </w:tabs>
      <w:jc w:val="center"/>
      <w:rPr>
        <w:color w:val="000000"/>
        <w:sz w:val="22"/>
        <w:szCs w:val="22"/>
      </w:rPr>
    </w:pPr>
    <w:r>
      <w:rPr>
        <w:color w:val="000000"/>
        <w:sz w:val="22"/>
        <w:szCs w:val="22"/>
      </w:rPr>
      <w:t xml:space="preserve">Página </w:t>
    </w:r>
    <w:r>
      <w:rPr>
        <w:b/>
        <w:color w:val="000000"/>
        <w:sz w:val="22"/>
        <w:szCs w:val="22"/>
      </w:rPr>
      <w:fldChar w:fldCharType="begin"/>
    </w:r>
    <w:r>
      <w:rPr>
        <w:b/>
        <w:color w:val="000000"/>
        <w:sz w:val="22"/>
        <w:szCs w:val="22"/>
      </w:rPr>
      <w:instrText>PAGE</w:instrText>
    </w:r>
    <w:r>
      <w:rPr>
        <w:b/>
        <w:color w:val="000000"/>
        <w:sz w:val="22"/>
        <w:szCs w:val="22"/>
      </w:rPr>
      <w:fldChar w:fldCharType="separate"/>
    </w:r>
    <w:r w:rsidR="005D6E2C">
      <w:rPr>
        <w:b/>
        <w:noProof/>
        <w:color w:val="000000"/>
        <w:sz w:val="22"/>
        <w:szCs w:val="22"/>
      </w:rPr>
      <w:t>1</w:t>
    </w:r>
    <w:r>
      <w:rPr>
        <w:b/>
        <w:color w:val="000000"/>
        <w:sz w:val="22"/>
        <w:szCs w:val="22"/>
      </w:rPr>
      <w:fldChar w:fldCharType="end"/>
    </w:r>
    <w:r>
      <w:rPr>
        <w:color w:val="000000"/>
        <w:sz w:val="22"/>
        <w:szCs w:val="22"/>
      </w:rPr>
      <w:t xml:space="preserve"> de </w:t>
    </w:r>
    <w:r>
      <w:rPr>
        <w:b/>
        <w:color w:val="000000"/>
        <w:sz w:val="22"/>
        <w:szCs w:val="22"/>
      </w:rPr>
      <w:fldChar w:fldCharType="begin"/>
    </w:r>
    <w:r>
      <w:rPr>
        <w:b/>
        <w:color w:val="000000"/>
        <w:sz w:val="22"/>
        <w:szCs w:val="22"/>
      </w:rPr>
      <w:instrText>NUMPAGES</w:instrText>
    </w:r>
    <w:r>
      <w:rPr>
        <w:b/>
        <w:color w:val="000000"/>
        <w:sz w:val="22"/>
        <w:szCs w:val="22"/>
      </w:rPr>
      <w:fldChar w:fldCharType="separate"/>
    </w:r>
    <w:r w:rsidR="005D6E2C">
      <w:rPr>
        <w:b/>
        <w:noProof/>
        <w:color w:val="000000"/>
        <w:sz w:val="22"/>
        <w:szCs w:val="22"/>
      </w:rPr>
      <w:t>2</w:t>
    </w:r>
    <w:r>
      <w:rPr>
        <w:b/>
        <w:color w:val="000000"/>
        <w:sz w:val="22"/>
        <w:szCs w:val="22"/>
      </w:rPr>
      <w:fldChar w:fldCharType="end"/>
    </w:r>
    <w:r>
      <w:rPr>
        <w:noProof/>
      </w:rPr>
      <w:drawing>
        <wp:anchor distT="0" distB="0" distL="114300" distR="114300" simplePos="0" relativeHeight="251663360" behindDoc="0" locked="0" layoutInCell="1" hidden="0" allowOverlap="1" wp14:anchorId="71FB83E5" wp14:editId="58FFE518">
          <wp:simplePos x="0" y="0"/>
          <wp:positionH relativeFrom="column">
            <wp:posOffset>5</wp:posOffset>
          </wp:positionH>
          <wp:positionV relativeFrom="paragraph">
            <wp:posOffset>58420</wp:posOffset>
          </wp:positionV>
          <wp:extent cx="991235" cy="238125"/>
          <wp:effectExtent l="0" t="0" r="0" b="0"/>
          <wp:wrapNone/>
          <wp:docPr id="1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991235" cy="23812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37DD1" w14:textId="77777777" w:rsidR="00116887" w:rsidRDefault="00116887">
      <w:r>
        <w:separator/>
      </w:r>
    </w:p>
  </w:footnote>
  <w:footnote w:type="continuationSeparator" w:id="0">
    <w:p w14:paraId="16E7F4D2" w14:textId="77777777" w:rsidR="00116887" w:rsidRDefault="001168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758FD" w14:textId="41EFDF7C" w:rsidR="00AB1F4B" w:rsidRDefault="00A43437">
    <w:pPr>
      <w:pBdr>
        <w:top w:val="nil"/>
        <w:left w:val="nil"/>
        <w:bottom w:val="nil"/>
        <w:right w:val="nil"/>
        <w:between w:val="nil"/>
      </w:pBdr>
      <w:tabs>
        <w:tab w:val="center" w:pos="4252"/>
        <w:tab w:val="right" w:pos="8504"/>
      </w:tabs>
      <w:ind w:firstLine="142"/>
      <w:rPr>
        <w:color w:val="000000"/>
        <w:sz w:val="22"/>
        <w:szCs w:val="22"/>
      </w:rPr>
    </w:pPr>
    <w:r>
      <w:rPr>
        <w:noProof/>
      </w:rPr>
      <w:drawing>
        <wp:anchor distT="0" distB="0" distL="114300" distR="114300" simplePos="0" relativeHeight="251665408" behindDoc="1" locked="0" layoutInCell="1" allowOverlap="1" wp14:anchorId="2A5D6812" wp14:editId="2B680146">
          <wp:simplePos x="0" y="0"/>
          <wp:positionH relativeFrom="column">
            <wp:posOffset>-3810</wp:posOffset>
          </wp:positionH>
          <wp:positionV relativeFrom="paragraph">
            <wp:posOffset>-378831</wp:posOffset>
          </wp:positionV>
          <wp:extent cx="1276350" cy="1276350"/>
          <wp:effectExtent l="0" t="0" r="0" b="0"/>
          <wp:wrapSquare wrapText="bothSides"/>
          <wp:docPr id="19469434" name="Picture 19469434" descr="A logo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059390" name="Picture 1646059390" descr="A logo of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6350" cy="1276350"/>
                  </a:xfrm>
                  <a:prstGeom prst="rect">
                    <a:avLst/>
                  </a:prstGeom>
                  <a:noFill/>
                  <a:ln>
                    <a:noFill/>
                  </a:ln>
                </pic:spPr>
              </pic:pic>
            </a:graphicData>
          </a:graphic>
          <wp14:sizeRelH relativeFrom="page">
            <wp14:pctWidth>0</wp14:pctWidth>
          </wp14:sizeRelH>
          <wp14:sizeRelV relativeFrom="page">
            <wp14:pctHeight>0</wp14:pctHeight>
          </wp14:sizeRelV>
        </wp:anchor>
      </w:drawing>
    </w:r>
    <w:r w:rsidR="00000000">
      <w:rPr>
        <w:noProof/>
      </w:rPr>
      <w:drawing>
        <wp:anchor distT="0" distB="0" distL="0" distR="0" simplePos="0" relativeHeight="251658240" behindDoc="1" locked="0" layoutInCell="1" hidden="0" allowOverlap="1" wp14:anchorId="11C91FB1" wp14:editId="6BD1870A">
          <wp:simplePos x="0" y="0"/>
          <wp:positionH relativeFrom="column">
            <wp:posOffset>0</wp:posOffset>
          </wp:positionH>
          <wp:positionV relativeFrom="paragraph">
            <wp:posOffset>-325751</wp:posOffset>
          </wp:positionV>
          <wp:extent cx="1219200" cy="1093867"/>
          <wp:effectExtent l="0" t="0" r="0" b="0"/>
          <wp:wrapNone/>
          <wp:docPr id="14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1219200" cy="1093867"/>
                  </a:xfrm>
                  <a:prstGeom prst="rect">
                    <a:avLst/>
                  </a:prstGeom>
                  <a:ln/>
                </pic:spPr>
              </pic:pic>
            </a:graphicData>
          </a:graphic>
        </wp:anchor>
      </w:drawing>
    </w:r>
    <w:r w:rsidR="00000000">
      <w:rPr>
        <w:noProof/>
      </w:rPr>
      <w:drawing>
        <wp:anchor distT="0" distB="0" distL="114300" distR="114300" simplePos="0" relativeHeight="251659264" behindDoc="0" locked="0" layoutInCell="1" hidden="0" allowOverlap="1" wp14:anchorId="60367E3F" wp14:editId="25961B38">
          <wp:simplePos x="0" y="0"/>
          <wp:positionH relativeFrom="column">
            <wp:posOffset>4843780</wp:posOffset>
          </wp:positionH>
          <wp:positionV relativeFrom="paragraph">
            <wp:posOffset>-343531</wp:posOffset>
          </wp:positionV>
          <wp:extent cx="1275715" cy="1046480"/>
          <wp:effectExtent l="0" t="0" r="0" b="0"/>
          <wp:wrapSquare wrapText="bothSides" distT="0" distB="0" distL="114300" distR="114300"/>
          <wp:docPr id="14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
                  <a:srcRect/>
                  <a:stretch>
                    <a:fillRect/>
                  </a:stretch>
                </pic:blipFill>
                <pic:spPr>
                  <a:xfrm>
                    <a:off x="0" y="0"/>
                    <a:ext cx="1275715" cy="104648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617FB"/>
    <w:multiLevelType w:val="multilevel"/>
    <w:tmpl w:val="58A2948A"/>
    <w:lvl w:ilvl="0">
      <w:start w:val="23"/>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63506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F4B"/>
    <w:rsid w:val="00116887"/>
    <w:rsid w:val="001671FD"/>
    <w:rsid w:val="003C764F"/>
    <w:rsid w:val="003E368A"/>
    <w:rsid w:val="00577D27"/>
    <w:rsid w:val="005D6E2C"/>
    <w:rsid w:val="006F6E9E"/>
    <w:rsid w:val="00A43437"/>
    <w:rsid w:val="00AB1F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841DC"/>
  <w15:docId w15:val="{F9697070-BEB6-4AF9-BA4E-A00A7D98C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pt-B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27D"/>
    <w:rPr>
      <w:rFonts w:eastAsiaTheme="minorEastAsi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paragraph" w:styleId="Header">
    <w:name w:val="header"/>
    <w:basedOn w:val="Normal"/>
    <w:link w:val="HeaderChar"/>
    <w:uiPriority w:val="99"/>
    <w:unhideWhenUsed/>
    <w:rsid w:val="0074047E"/>
    <w:pPr>
      <w:tabs>
        <w:tab w:val="center" w:pos="4252"/>
        <w:tab w:val="right" w:pos="8504"/>
      </w:tabs>
    </w:pPr>
    <w:rPr>
      <w:rFonts w:eastAsiaTheme="minorHAnsi"/>
      <w:sz w:val="22"/>
      <w:szCs w:val="22"/>
    </w:rPr>
  </w:style>
  <w:style w:type="character" w:customStyle="1" w:styleId="HeaderChar">
    <w:name w:val="Header Char"/>
    <w:basedOn w:val="DefaultParagraphFont"/>
    <w:link w:val="Header"/>
    <w:uiPriority w:val="99"/>
    <w:rsid w:val="0074047E"/>
  </w:style>
  <w:style w:type="paragraph" w:styleId="Footer">
    <w:name w:val="footer"/>
    <w:basedOn w:val="Normal"/>
    <w:link w:val="FooterChar"/>
    <w:uiPriority w:val="99"/>
    <w:unhideWhenUsed/>
    <w:rsid w:val="0074047E"/>
    <w:pPr>
      <w:tabs>
        <w:tab w:val="center" w:pos="4252"/>
        <w:tab w:val="right" w:pos="8504"/>
      </w:tabs>
    </w:pPr>
    <w:rPr>
      <w:rFonts w:eastAsiaTheme="minorHAnsi"/>
      <w:sz w:val="22"/>
      <w:szCs w:val="22"/>
    </w:rPr>
  </w:style>
  <w:style w:type="character" w:customStyle="1" w:styleId="FooterChar">
    <w:name w:val="Footer Char"/>
    <w:basedOn w:val="DefaultParagraphFont"/>
    <w:link w:val="Footer"/>
    <w:uiPriority w:val="99"/>
    <w:rsid w:val="0074047E"/>
  </w:style>
  <w:style w:type="paragraph" w:customStyle="1" w:styleId="Corpo">
    <w:name w:val="Corpo"/>
    <w:rsid w:val="00E612A3"/>
    <w:pPr>
      <w:pBdr>
        <w:top w:val="nil"/>
        <w:left w:val="nil"/>
        <w:bottom w:val="nil"/>
        <w:right w:val="nil"/>
        <w:between w:val="nil"/>
        <w:bar w:val="nil"/>
      </w:pBdr>
    </w:pPr>
    <w:rPr>
      <w:rFonts w:ascii="Cambria" w:eastAsia="Cambria" w:hAnsi="Cambria" w:cs="Cambria"/>
      <w:color w:val="000000"/>
      <w:u w:color="000000"/>
      <w:bdr w:val="nil"/>
      <w:lang w:val="es-ES_tradnl"/>
    </w:rPr>
  </w:style>
  <w:style w:type="paragraph" w:customStyle="1" w:styleId="first-p">
    <w:name w:val="first-p"/>
    <w:basedOn w:val="Normal"/>
    <w:qFormat/>
    <w:rsid w:val="00E422DE"/>
    <w:pPr>
      <w:spacing w:beforeAutospacing="1" w:afterAutospacing="1"/>
    </w:pPr>
    <w:rPr>
      <w:rFonts w:ascii="Times New Roman" w:eastAsia="Times New Roman" w:hAnsi="Times New Roman" w:cs="Times New Roman"/>
      <w:color w:val="00000A"/>
    </w:rPr>
  </w:style>
  <w:style w:type="paragraph" w:styleId="BodyTextIndent">
    <w:name w:val="Body Text Indent"/>
    <w:basedOn w:val="Normal"/>
    <w:link w:val="BodyTextIndentChar"/>
    <w:rsid w:val="00E422DE"/>
    <w:pPr>
      <w:spacing w:after="120"/>
      <w:ind w:left="283"/>
    </w:pPr>
    <w:rPr>
      <w:rFonts w:ascii="Times New Roman" w:eastAsia="Times New Roman" w:hAnsi="Times New Roman" w:cs="Times New Roman"/>
    </w:rPr>
  </w:style>
  <w:style w:type="character" w:customStyle="1" w:styleId="BodyTextIndentChar">
    <w:name w:val="Body Text Indent Char"/>
    <w:basedOn w:val="DefaultParagraphFont"/>
    <w:link w:val="BodyTextIndent"/>
    <w:rsid w:val="00E422DE"/>
    <w:rPr>
      <w:rFonts w:ascii="Times New Roman" w:eastAsia="Times New Roman" w:hAnsi="Times New Roman" w:cs="Times New Roman"/>
      <w:sz w:val="24"/>
      <w:szCs w:val="24"/>
      <w:lang w:eastAsia="pt-BR"/>
    </w:rPr>
  </w:style>
  <w:style w:type="character" w:styleId="Hyperlink">
    <w:name w:val="Hyperlink"/>
    <w:basedOn w:val="DefaultParagraphFont"/>
    <w:uiPriority w:val="99"/>
    <w:unhideWhenUsed/>
    <w:rsid w:val="00E422DE"/>
    <w:rPr>
      <w:color w:val="0563C1" w:themeColor="hyperlink"/>
      <w:u w:val="single"/>
    </w:rPr>
  </w:style>
  <w:style w:type="paragraph" w:styleId="ListParagraph">
    <w:name w:val="List Paragraph"/>
    <w:basedOn w:val="Normal"/>
    <w:uiPriority w:val="34"/>
    <w:qFormat/>
    <w:rsid w:val="00E422DE"/>
    <w:pPr>
      <w:ind w:left="720"/>
      <w:contextualSpacing/>
    </w:pPr>
  </w:style>
  <w:style w:type="paragraph" w:styleId="IntenseQuote">
    <w:name w:val="Intense Quote"/>
    <w:basedOn w:val="Normal"/>
    <w:next w:val="Normal"/>
    <w:link w:val="IntenseQuoteChar"/>
    <w:uiPriority w:val="30"/>
    <w:qFormat/>
    <w:rsid w:val="00E422D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422DE"/>
    <w:rPr>
      <w:rFonts w:eastAsiaTheme="minorEastAsia"/>
      <w:i/>
      <w:iCs/>
      <w:color w:val="5B9BD5" w:themeColor="accent1"/>
      <w:sz w:val="24"/>
      <w:szCs w:val="24"/>
    </w:rPr>
  </w:style>
  <w:style w:type="character" w:styleId="PlaceholderText">
    <w:name w:val="Placeholder Text"/>
    <w:basedOn w:val="DefaultParagraphFont"/>
    <w:uiPriority w:val="99"/>
    <w:semiHidden/>
    <w:rsid w:val="00E422DE"/>
    <w:rPr>
      <w:color w:val="808080"/>
    </w:rPr>
  </w:style>
  <w:style w:type="table" w:styleId="TableGrid">
    <w:name w:val="Table Grid"/>
    <w:basedOn w:val="TableNormal"/>
    <w:uiPriority w:val="39"/>
    <w:rsid w:val="001C51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5F38F1"/>
    <w:rPr>
      <w:b/>
      <w:bCs/>
      <w:smallCaps/>
      <w:color w:val="5B9BD5" w:themeColor="accent1"/>
      <w:spacing w:val="5"/>
    </w:rPr>
  </w:style>
  <w:style w:type="character" w:styleId="FollowedHyperlink">
    <w:name w:val="FollowedHyperlink"/>
    <w:basedOn w:val="DefaultParagraphFont"/>
    <w:uiPriority w:val="99"/>
    <w:semiHidden/>
    <w:unhideWhenUsed/>
    <w:rsid w:val="00C00619"/>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left w:w="70" w:type="dxa"/>
        <w:right w:w="70" w:type="dxa"/>
      </w:tblCellMar>
    </w:tblPr>
  </w:style>
  <w:style w:type="table" w:customStyle="1" w:styleId="a0">
    <w:basedOn w:val="TableNormal2"/>
    <w:tblPr>
      <w:tblStyleRowBandSize w:val="1"/>
      <w:tblStyleColBandSize w:val="1"/>
      <w:tblCellMar>
        <w:left w:w="70" w:type="dxa"/>
        <w:right w:w="70" w:type="dxa"/>
      </w:tblCellMar>
    </w:tblPr>
  </w:style>
  <w:style w:type="table" w:customStyle="1" w:styleId="a1">
    <w:basedOn w:val="TableNormal2"/>
    <w:tblPr>
      <w:tblStyleRowBandSize w:val="1"/>
      <w:tblStyleColBandSize w:val="1"/>
      <w:tblCellMar>
        <w:left w:w="70" w:type="dxa"/>
        <w:right w:w="70" w:type="dxa"/>
      </w:tblCellMar>
    </w:tblPr>
  </w:style>
  <w:style w:type="table" w:customStyle="1" w:styleId="a2">
    <w:basedOn w:val="TableNormal2"/>
    <w:tblPr>
      <w:tblStyleRowBandSize w:val="1"/>
      <w:tblStyleColBandSize w:val="1"/>
      <w:tblCellMar>
        <w:left w:w="108" w:type="dxa"/>
        <w:right w:w="108" w:type="dxa"/>
      </w:tblCellMar>
    </w:tblPr>
  </w:style>
  <w:style w:type="paragraph" w:styleId="NormalWeb">
    <w:name w:val="Normal (Web)"/>
    <w:basedOn w:val="Normal"/>
    <w:uiPriority w:val="99"/>
    <w:semiHidden/>
    <w:unhideWhenUsed/>
    <w:rsid w:val="00CB1D87"/>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1B5C88"/>
    <w:rPr>
      <w:color w:val="605E5C"/>
      <w:shd w:val="clear" w:color="auto" w:fill="E1DFDD"/>
    </w:rPr>
  </w:style>
  <w:style w:type="table" w:customStyle="1" w:styleId="a3">
    <w:basedOn w:val="TableNormal2"/>
    <w:tblPr>
      <w:tblStyleRowBandSize w:val="1"/>
      <w:tblStyleColBandSize w:val="1"/>
      <w:tblCellMar>
        <w:left w:w="108" w:type="dxa"/>
        <w:right w:w="108" w:type="dxa"/>
      </w:tblCellMar>
    </w:tblPr>
  </w:style>
  <w:style w:type="table" w:customStyle="1" w:styleId="a4">
    <w:basedOn w:val="TableNormal2"/>
    <w:tblPr>
      <w:tblStyleRowBandSize w:val="1"/>
      <w:tblStyleColBandSize w:val="1"/>
      <w:tblCellMar>
        <w:left w:w="108" w:type="dxa"/>
        <w:right w:w="108" w:type="dxa"/>
      </w:tblCellMar>
    </w:tblPr>
  </w:style>
  <w:style w:type="table" w:customStyle="1" w:styleId="a5">
    <w:basedOn w:val="TableNormal2"/>
    <w:tblPr>
      <w:tblStyleRowBandSize w:val="1"/>
      <w:tblStyleColBandSize w:val="1"/>
      <w:tblCellMar>
        <w:left w:w="108" w:type="dxa"/>
        <w:right w:w="108" w:type="dxa"/>
      </w:tblCellMar>
    </w:tblPr>
  </w:style>
  <w:style w:type="table" w:customStyle="1" w:styleId="a6">
    <w:basedOn w:val="TableNormal2"/>
    <w:tblPr>
      <w:tblStyleRowBandSize w:val="1"/>
      <w:tblStyleColBandSize w:val="1"/>
      <w:tblCellMar>
        <w:left w:w="108" w:type="dxa"/>
        <w:right w:w="108" w:type="dxa"/>
      </w:tblCellMar>
    </w:tblPr>
  </w:style>
  <w:style w:type="table" w:customStyle="1" w:styleId="a7">
    <w:basedOn w:val="TableNormal2"/>
    <w:tblPr>
      <w:tblStyleRowBandSize w:val="1"/>
      <w:tblStyleColBandSize w:val="1"/>
      <w:tblCellMar>
        <w:top w:w="15" w:type="dxa"/>
        <w:left w:w="15" w:type="dxa"/>
        <w:bottom w:w="15" w:type="dxa"/>
        <w:right w:w="15" w:type="dxa"/>
      </w:tblCellMar>
    </w:tblPr>
  </w:style>
  <w:style w:type="table" w:customStyle="1" w:styleId="a8">
    <w:basedOn w:val="TableNormal2"/>
    <w:tblPr>
      <w:tblStyleRowBandSize w:val="1"/>
      <w:tblStyleColBandSize w:val="1"/>
      <w:tblCellMar>
        <w:left w:w="108" w:type="dxa"/>
        <w:right w:w="108" w:type="dxa"/>
      </w:tblCellMar>
    </w:tblPr>
  </w:style>
  <w:style w:type="table" w:customStyle="1" w:styleId="a9">
    <w:basedOn w:val="TableNormal1"/>
    <w:tblPr>
      <w:tblStyleRowBandSize w:val="1"/>
      <w:tblStyleColBandSize w:val="1"/>
      <w:tblCellMar>
        <w:top w:w="15" w:type="dxa"/>
        <w:left w:w="108" w:type="dxa"/>
        <w:bottom w:w="15" w:type="dxa"/>
        <w:right w:w="108" w:type="dxa"/>
      </w:tblCellMar>
    </w:tblPr>
  </w:style>
  <w:style w:type="table" w:customStyle="1" w:styleId="aa">
    <w:basedOn w:val="TableNormal1"/>
    <w:tblPr>
      <w:tblStyleRowBandSize w:val="1"/>
      <w:tblStyleColBandSize w:val="1"/>
      <w:tblCellMar>
        <w:top w:w="15" w:type="dxa"/>
        <w:left w:w="15" w:type="dxa"/>
        <w:bottom w:w="15" w:type="dxa"/>
        <w:right w:w="15" w:type="dxa"/>
      </w:tblCellMar>
    </w:tblPr>
  </w:style>
  <w:style w:type="table" w:customStyle="1" w:styleId="ab">
    <w:basedOn w:val="TableNormal1"/>
    <w:tblPr>
      <w:tblStyleRowBandSize w:val="1"/>
      <w:tblStyleColBandSize w:val="1"/>
      <w:tblCellMar>
        <w:top w:w="15" w:type="dxa"/>
        <w:left w:w="108" w:type="dxa"/>
        <w:bottom w:w="15" w:type="dxa"/>
        <w:right w:w="108" w:type="dxa"/>
      </w:tblCellMar>
    </w:tblPr>
  </w:style>
  <w:style w:type="table" w:customStyle="1" w:styleId="ac">
    <w:basedOn w:val="TableNormal1"/>
    <w:tblPr>
      <w:tblStyleRowBandSize w:val="1"/>
      <w:tblStyleColBandSize w:val="1"/>
      <w:tblCellMar>
        <w:top w:w="15" w:type="dxa"/>
        <w:left w:w="15" w:type="dxa"/>
        <w:bottom w:w="15" w:type="dxa"/>
        <w:right w:w="15" w:type="dxa"/>
      </w:tblCellMar>
    </w:tblPr>
  </w:style>
  <w:style w:type="table" w:customStyle="1" w:styleId="ad">
    <w:basedOn w:val="TableNormal1"/>
    <w:tblPr>
      <w:tblStyleRowBandSize w:val="1"/>
      <w:tblStyleColBandSize w:val="1"/>
      <w:tblCellMar>
        <w:top w:w="15" w:type="dxa"/>
        <w:left w:w="15" w:type="dxa"/>
        <w:bottom w:w="15" w:type="dxa"/>
        <w:right w:w="15" w:type="dxa"/>
      </w:tblCellMar>
    </w:tblPr>
  </w:style>
  <w:style w:type="table" w:customStyle="1" w:styleId="ae">
    <w:basedOn w:val="TableNormal1"/>
    <w:tblPr>
      <w:tblStyleRowBandSize w:val="1"/>
      <w:tblStyleColBandSize w:val="1"/>
      <w:tblCellMar>
        <w:top w:w="15" w:type="dxa"/>
        <w:left w:w="15" w:type="dxa"/>
        <w:bottom w:w="15" w:type="dxa"/>
        <w:right w:w="15" w:type="dxa"/>
      </w:tblCellMar>
    </w:tblPr>
  </w:style>
  <w:style w:type="table" w:customStyle="1" w:styleId="af">
    <w:basedOn w:val="TableNormal1"/>
    <w:tblPr>
      <w:tblStyleRowBandSize w:val="1"/>
      <w:tblStyleColBandSize w:val="1"/>
      <w:tblCellMar>
        <w:top w:w="15" w:type="dxa"/>
        <w:left w:w="108" w:type="dxa"/>
        <w:bottom w:w="15" w:type="dxa"/>
        <w:right w:w="108" w:type="dxa"/>
      </w:tblCellMar>
    </w:tblPr>
  </w:style>
  <w:style w:type="table" w:customStyle="1" w:styleId="af0">
    <w:basedOn w:val="TableNormal"/>
    <w:tblPr>
      <w:tblStyleRowBandSize w:val="1"/>
      <w:tblStyleColBandSize w:val="1"/>
      <w:tblCellMar>
        <w:top w:w="15" w:type="dxa"/>
        <w:bottom w:w="15" w:type="dxa"/>
      </w:tblCellMar>
    </w:tblPr>
  </w:style>
  <w:style w:type="table" w:customStyle="1" w:styleId="af1">
    <w:basedOn w:val="TableNormal"/>
    <w:tblPr>
      <w:tblStyleRowBandSize w:val="1"/>
      <w:tblStyleColBandSize w:val="1"/>
      <w:tblCellMar>
        <w:top w:w="15" w:type="dxa"/>
        <w:bottom w:w="15" w:type="dxa"/>
      </w:tblCellMar>
    </w:tblPr>
  </w:style>
  <w:style w:type="table" w:customStyle="1" w:styleId="af2">
    <w:basedOn w:val="TableNormal"/>
    <w:tblPr>
      <w:tblStyleRowBandSize w:val="1"/>
      <w:tblStyleColBandSize w:val="1"/>
      <w:tblCellMar>
        <w:top w:w="15" w:type="dxa"/>
        <w:bottom w:w="15" w:type="dxa"/>
      </w:tblCellMar>
    </w:tblPr>
  </w:style>
  <w:style w:type="table" w:customStyle="1" w:styleId="af3">
    <w:basedOn w:val="TableNormal"/>
    <w:tblPr>
      <w:tblStyleRowBandSize w:val="1"/>
      <w:tblStyleColBandSize w:val="1"/>
      <w:tblCellMar>
        <w:top w:w="15" w:type="dxa"/>
        <w:bottom w:w="15" w:type="dxa"/>
      </w:tblCellMar>
    </w:tblPr>
  </w:style>
  <w:style w:type="table" w:customStyle="1" w:styleId="af4">
    <w:basedOn w:val="TableNormal"/>
    <w:tblPr>
      <w:tblStyleRowBandSize w:val="1"/>
      <w:tblStyleColBandSize w:val="1"/>
      <w:tblCellMar>
        <w:top w:w="15" w:type="dxa"/>
        <w:bottom w:w="15" w:type="dxa"/>
      </w:tblCellMar>
    </w:tblPr>
  </w:style>
  <w:style w:type="table" w:customStyle="1" w:styleId="af5">
    <w:basedOn w:val="TableNormal"/>
    <w:tblPr>
      <w:tblStyleRowBandSize w:val="1"/>
      <w:tblStyleColBandSize w:val="1"/>
      <w:tblCellMar>
        <w:top w:w="15" w:type="dxa"/>
        <w:bottom w:w="15" w:type="dxa"/>
      </w:tblCellMar>
    </w:tblPr>
  </w:style>
  <w:style w:type="table" w:customStyle="1" w:styleId="af6">
    <w:basedOn w:val="TableNormal"/>
    <w:tblPr>
      <w:tblStyleRowBandSize w:val="1"/>
      <w:tblStyleColBandSize w:val="1"/>
      <w:tblCellMar>
        <w:top w:w="15" w:type="dxa"/>
        <w:bottom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000909">
      <w:bodyDiv w:val="1"/>
      <w:marLeft w:val="0"/>
      <w:marRight w:val="0"/>
      <w:marTop w:val="0"/>
      <w:marBottom w:val="0"/>
      <w:divBdr>
        <w:top w:val="none" w:sz="0" w:space="0" w:color="auto"/>
        <w:left w:val="none" w:sz="0" w:space="0" w:color="auto"/>
        <w:bottom w:val="none" w:sz="0" w:space="0" w:color="auto"/>
        <w:right w:val="none" w:sz="0" w:space="0" w:color="auto"/>
      </w:divBdr>
    </w:div>
    <w:div w:id="696006203">
      <w:bodyDiv w:val="1"/>
      <w:marLeft w:val="0"/>
      <w:marRight w:val="0"/>
      <w:marTop w:val="0"/>
      <w:marBottom w:val="0"/>
      <w:divBdr>
        <w:top w:val="none" w:sz="0" w:space="0" w:color="auto"/>
        <w:left w:val="none" w:sz="0" w:space="0" w:color="auto"/>
        <w:bottom w:val="none" w:sz="0" w:space="0" w:color="auto"/>
        <w:right w:val="none" w:sz="0" w:space="0" w:color="auto"/>
      </w:divBdr>
    </w:div>
    <w:div w:id="1508208118">
      <w:bodyDiv w:val="1"/>
      <w:marLeft w:val="0"/>
      <w:marRight w:val="0"/>
      <w:marTop w:val="0"/>
      <w:marBottom w:val="0"/>
      <w:divBdr>
        <w:top w:val="none" w:sz="0" w:space="0" w:color="auto"/>
        <w:left w:val="none" w:sz="0" w:space="0" w:color="auto"/>
        <w:bottom w:val="none" w:sz="0" w:space="0" w:color="auto"/>
        <w:right w:val="none" w:sz="0" w:space="0" w:color="auto"/>
      </w:divBdr>
    </w:div>
    <w:div w:id="20930395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liz.wf@hot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 Id="rId4" Type="http://schemas.openxmlformats.org/officeDocument/2006/relationships/image" Target="media/image8.pn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CwdlITzcLWPjyVs4Ba+GFAXWT1Q==">AMUW2mWIOOhb7jYUmUf6vbo2c9qfiNOQVDTZdpGZVcH5CWquv7vv3IHSw/LkufT1ihwyJh808aylUaSuPlw4gPKUJrugxwLF7F9vCKBRmx/5II953NpBtW1+u5bi54rk33deGYCcYg4z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7</Pages>
  <Words>2214</Words>
  <Characters>12620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 W Formaggini</dc:creator>
  <cp:lastModifiedBy>Liz Werner</cp:lastModifiedBy>
  <cp:revision>5</cp:revision>
  <dcterms:created xsi:type="dcterms:W3CDTF">2023-11-21T16:22:00Z</dcterms:created>
  <dcterms:modified xsi:type="dcterms:W3CDTF">2024-01-24T18:08:00Z</dcterms:modified>
</cp:coreProperties>
</file>