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3D32" w14:textId="77777777" w:rsidR="00AA1A87" w:rsidRPr="000941C7" w:rsidRDefault="00AA1A87" w:rsidP="00AA1A87">
      <w:pPr>
        <w:spacing w:line="360" w:lineRule="auto"/>
        <w:jc w:val="both"/>
        <w:rPr>
          <w:rFonts w:eastAsia="Garamond"/>
          <w:b/>
          <w:sz w:val="28"/>
          <w:szCs w:val="28"/>
        </w:rPr>
      </w:pPr>
      <w:bookmarkStart w:id="0" w:name="_heading=h.82ji7xqlczlk" w:colFirst="0" w:colLast="0"/>
      <w:bookmarkStart w:id="1" w:name="_Hlk150416735"/>
      <w:bookmarkEnd w:id="0"/>
      <w:r w:rsidRPr="000941C7">
        <w:rPr>
          <w:rFonts w:eastAsia="Garamond"/>
          <w:b/>
          <w:sz w:val="28"/>
          <w:szCs w:val="28"/>
        </w:rPr>
        <w:t>Exmo. Sr. Dr. Juiz de direito da [VARA] da Comarca de xxxxxxx - Estado do Rio de Janeiro</w:t>
      </w:r>
    </w:p>
    <w:p w14:paraId="519E67AD" w14:textId="77777777" w:rsidR="00AA1A87" w:rsidRPr="000941C7" w:rsidRDefault="00AA1A87" w:rsidP="00AA1A87">
      <w:pPr>
        <w:spacing w:line="360" w:lineRule="auto"/>
        <w:jc w:val="both"/>
        <w:rPr>
          <w:rFonts w:eastAsia="Garamond"/>
          <w:sz w:val="16"/>
          <w:szCs w:val="16"/>
        </w:rPr>
      </w:pPr>
    </w:p>
    <w:p w14:paraId="44FC40C0" w14:textId="77777777" w:rsidR="00AA1A87" w:rsidRPr="000941C7" w:rsidRDefault="00AA1A87" w:rsidP="00AA1A87">
      <w:pPr>
        <w:spacing w:line="360" w:lineRule="auto"/>
        <w:jc w:val="both"/>
        <w:rPr>
          <w:rFonts w:eastAsia="Garamond"/>
          <w:sz w:val="16"/>
          <w:szCs w:val="16"/>
        </w:rPr>
      </w:pPr>
    </w:p>
    <w:p w14:paraId="1C4CD015" w14:textId="77777777" w:rsidR="00AA1A87" w:rsidRPr="000941C7" w:rsidRDefault="00AA1A87" w:rsidP="00AA1A87">
      <w:pPr>
        <w:spacing w:line="360" w:lineRule="auto"/>
        <w:jc w:val="both"/>
        <w:rPr>
          <w:rFonts w:eastAsia="Garamond"/>
          <w:sz w:val="16"/>
          <w:szCs w:val="16"/>
        </w:rPr>
      </w:pPr>
    </w:p>
    <w:p w14:paraId="49D7704C" w14:textId="77777777" w:rsidR="00AA1A87" w:rsidRPr="000941C7" w:rsidRDefault="00AA1A87" w:rsidP="00AA1A87">
      <w:pPr>
        <w:spacing w:line="360" w:lineRule="auto"/>
        <w:jc w:val="both"/>
        <w:rPr>
          <w:rFonts w:eastAsia="Garamond"/>
          <w:b/>
        </w:rPr>
      </w:pPr>
      <w:r w:rsidRPr="000941C7">
        <w:rPr>
          <w:rFonts w:eastAsia="Garamond"/>
          <w:b/>
        </w:rPr>
        <w:t>Processo nº [PROCESSO]</w:t>
      </w:r>
    </w:p>
    <w:p w14:paraId="68FBF610" w14:textId="77777777" w:rsidR="00AA1A87" w:rsidRPr="000941C7" w:rsidRDefault="00AA1A87" w:rsidP="00AA1A87">
      <w:pPr>
        <w:spacing w:line="360" w:lineRule="auto"/>
        <w:jc w:val="both"/>
        <w:rPr>
          <w:rFonts w:eastAsia="Garamond"/>
          <w:sz w:val="16"/>
          <w:szCs w:val="16"/>
        </w:rPr>
      </w:pPr>
    </w:p>
    <w:p w14:paraId="251BB794" w14:textId="77777777" w:rsidR="00AA1A87" w:rsidRPr="000941C7" w:rsidRDefault="00AA1A87" w:rsidP="00AA1A87">
      <w:pPr>
        <w:spacing w:line="360" w:lineRule="auto"/>
        <w:jc w:val="both"/>
        <w:rPr>
          <w:rFonts w:eastAsia="Garamond"/>
          <w:sz w:val="16"/>
          <w:szCs w:val="16"/>
        </w:rPr>
      </w:pPr>
    </w:p>
    <w:p w14:paraId="0A36CD7C" w14:textId="4E0C19B3" w:rsidR="0091368C" w:rsidRPr="00AA1A87" w:rsidRDefault="00AA1A87" w:rsidP="00AA1A87">
      <w:pPr>
        <w:spacing w:line="360" w:lineRule="auto"/>
        <w:jc w:val="both"/>
        <w:rPr>
          <w:rFonts w:eastAsia="Garamond"/>
          <w:color w:val="000000"/>
        </w:rPr>
      </w:pPr>
      <w:r w:rsidRPr="000941C7">
        <w:rPr>
          <w:rFonts w:eastAsia="Garamond"/>
          <w:b/>
        </w:rPr>
        <w:t>[NOME]</w:t>
      </w:r>
      <w:bookmarkEnd w:id="1"/>
      <w:r w:rsidR="0091368C" w:rsidRPr="00AA1A87">
        <w:rPr>
          <w:rFonts w:eastAsia="Garamond"/>
          <w:sz w:val="23"/>
          <w:szCs w:val="23"/>
        </w:rPr>
        <w:t xml:space="preserve">, </w:t>
      </w:r>
      <w:r w:rsidR="0091368C" w:rsidRPr="00AA1A87">
        <w:rPr>
          <w:rFonts w:eastAsia="Garamond"/>
        </w:rPr>
        <w:t xml:space="preserve">devidamente qualificada nos autos da ação em epígrafe, que move em face de </w:t>
      </w:r>
      <w:r w:rsidR="0091368C" w:rsidRPr="00AA1A87">
        <w:rPr>
          <w:rFonts w:eastAsia="Garamond"/>
          <w:b/>
        </w:rPr>
        <w:t>ESTADO DO RIO DE JANEIRO</w:t>
      </w:r>
      <w:r w:rsidR="0091368C" w:rsidRPr="00AA1A87">
        <w:rPr>
          <w:rFonts w:eastAsia="Garamond"/>
        </w:rPr>
        <w:t xml:space="preserve">, vem, respeitosamente, por seus advogados, </w:t>
      </w:r>
      <w:r w:rsidR="0091368C" w:rsidRPr="00AA1A87">
        <w:rPr>
          <w:rFonts w:eastAsia="Garamond"/>
          <w:color w:val="000000"/>
        </w:rPr>
        <w:t>em razão da Decisão</w:t>
      </w:r>
      <w:r>
        <w:rPr>
          <w:rFonts w:eastAsia="Garamond"/>
          <w:color w:val="000000"/>
        </w:rPr>
        <w:t xml:space="preserve"> de fls. </w:t>
      </w:r>
      <w:r w:rsidR="0091368C" w:rsidRPr="00AA1A87">
        <w:rPr>
          <w:rFonts w:eastAsia="Garamond"/>
          <w:color w:val="000000"/>
        </w:rPr>
        <w:t xml:space="preserve">, tempestivamente, opor os presentes </w:t>
      </w:r>
    </w:p>
    <w:p w14:paraId="7375C8CA" w14:textId="77777777" w:rsidR="0091368C" w:rsidRPr="00AA1A87" w:rsidRDefault="0091368C" w:rsidP="0091368C">
      <w:pPr>
        <w:ind w:firstLine="1134"/>
        <w:jc w:val="both"/>
        <w:rPr>
          <w:rFonts w:eastAsia="Garamond"/>
          <w:color w:val="000000"/>
        </w:rPr>
      </w:pPr>
    </w:p>
    <w:p w14:paraId="08A4D6D0" w14:textId="77777777" w:rsidR="0091368C" w:rsidRPr="00AA1A87" w:rsidRDefault="0091368C" w:rsidP="0091368C">
      <w:pPr>
        <w:jc w:val="center"/>
        <w:rPr>
          <w:rFonts w:eastAsia="Garamond"/>
          <w:b/>
          <w:color w:val="000000"/>
        </w:rPr>
      </w:pPr>
      <w:r w:rsidRPr="00AA1A87">
        <w:rPr>
          <w:rFonts w:eastAsia="Garamond"/>
          <w:b/>
          <w:color w:val="000000"/>
        </w:rPr>
        <w:t>EMBARGOS DE DECLARAÇÃO</w:t>
      </w:r>
    </w:p>
    <w:p w14:paraId="36D18C8E" w14:textId="77777777" w:rsidR="0091368C" w:rsidRPr="00AA1A87" w:rsidRDefault="0091368C" w:rsidP="0091368C">
      <w:pPr>
        <w:ind w:firstLine="1134"/>
        <w:jc w:val="both"/>
        <w:rPr>
          <w:rFonts w:eastAsia="Garamond"/>
          <w:color w:val="000000"/>
        </w:rPr>
      </w:pPr>
    </w:p>
    <w:p w14:paraId="2009F6C2" w14:textId="77777777" w:rsidR="0091368C" w:rsidRDefault="0091368C" w:rsidP="0091368C">
      <w:pPr>
        <w:ind w:firstLine="1134"/>
        <w:jc w:val="both"/>
        <w:rPr>
          <w:rFonts w:eastAsia="Garamond"/>
          <w:color w:val="000000"/>
        </w:rPr>
      </w:pPr>
      <w:r w:rsidRPr="00AA1A87">
        <w:rPr>
          <w:rFonts w:eastAsia="Garamond"/>
          <w:color w:val="000000"/>
        </w:rPr>
        <w:t>com fulcro nos artigos 1.022 e seguintes do Código de Processo Civil, tecendo as considerações de fato e de direito que abaixo se seguem.</w:t>
      </w:r>
    </w:p>
    <w:p w14:paraId="7C39840A" w14:textId="77777777" w:rsidR="00062A78" w:rsidRDefault="00062A78" w:rsidP="0091368C">
      <w:pPr>
        <w:ind w:firstLine="1134"/>
        <w:jc w:val="both"/>
        <w:rPr>
          <w:rFonts w:eastAsia="Garamond"/>
          <w:color w:val="000000"/>
        </w:rPr>
      </w:pPr>
    </w:p>
    <w:p w14:paraId="1032BE26" w14:textId="2E7803E8" w:rsidR="00062A78" w:rsidRDefault="00062A78" w:rsidP="0091368C">
      <w:pPr>
        <w:ind w:firstLine="1134"/>
        <w:jc w:val="both"/>
        <w:rPr>
          <w:rFonts w:eastAsia="Garamond"/>
          <w:color w:val="000000"/>
        </w:rPr>
      </w:pPr>
      <w:r>
        <w:rPr>
          <w:rFonts w:eastAsia="Garamond"/>
          <w:color w:val="000000"/>
        </w:rPr>
        <w:t>Inicialmente, cumpre colacionar abaixo recente decis</w:t>
      </w:r>
      <w:r w:rsidR="00794743">
        <w:rPr>
          <w:rFonts w:eastAsia="Garamond"/>
          <w:color w:val="000000"/>
        </w:rPr>
        <w:t>ão</w:t>
      </w:r>
      <w:r>
        <w:rPr>
          <w:rFonts w:eastAsia="Garamond"/>
          <w:color w:val="000000"/>
        </w:rPr>
        <w:t xml:space="preserve"> quanto ao tema “Suspensão” proferidas pelo Tribunal de Justiça do Estado do Rio de Janeiro:</w:t>
      </w:r>
    </w:p>
    <w:p w14:paraId="79F1FEB7" w14:textId="77777777" w:rsidR="00062A78" w:rsidRDefault="00062A78" w:rsidP="00062A78">
      <w:pPr>
        <w:jc w:val="both"/>
        <w:rPr>
          <w:rFonts w:eastAsia="Garamond"/>
          <w:color w:val="000000"/>
        </w:rPr>
      </w:pPr>
    </w:p>
    <w:p w14:paraId="012B7D3E" w14:textId="0BDFBADC"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 xml:space="preserve">APELAÇÃO CÍVEL. SERVIDOR PÚBLICO. EXECUÇÃO INDIVIDUAL DE SENTENÇA COLETIVA. GRATIFICAÇÃO DO PROGRAMA </w:t>
      </w:r>
      <w:r w:rsidRPr="00794743">
        <w:rPr>
          <w:rFonts w:eastAsia="Garamond"/>
          <w:b/>
          <w:bCs/>
          <w:color w:val="000000"/>
          <w:sz w:val="20"/>
          <w:szCs w:val="20"/>
        </w:rPr>
        <w:t>NOVA ESCOLA</w:t>
      </w:r>
      <w:r w:rsidRPr="00794743">
        <w:rPr>
          <w:rFonts w:eastAsia="Garamond"/>
          <w:color w:val="000000"/>
          <w:sz w:val="20"/>
          <w:szCs w:val="20"/>
        </w:rPr>
        <w:t xml:space="preserve"> REFERENTE AO ANO DE 2002. SENTENÇA QUE RECONHECEU A PRESCRIÇÃO DA EXECUÇÃO E EXTINGUIU O FEITO. IRRESIGNAÇÃO DA PARTE AUTORA.</w:t>
      </w:r>
    </w:p>
    <w:p w14:paraId="7C7063A0"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1. Trata-se de ação de cumprimento individual de sentença coletiva proferida nos autos da ACP nº 0138193-28.2006.8.19.0001, em face do Estado do Rio de Janeiro, na qual a exequente pleiteia a liquidação e consequente execução do direito concedido aos professores do Estado do Rio de Janeiro na ação coletiva que versa sobre o programa "Nova Escola".</w:t>
      </w:r>
    </w:p>
    <w:p w14:paraId="7EAAE27D"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2. A controvérsia restringe-se a prescrição da pretensão executiva individual de título judicial coletivo transitado em julgado, quando em curso execução coletiva.</w:t>
      </w:r>
    </w:p>
    <w:p w14:paraId="7CBFDA68"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3. Duas ações coletivas foram ajuizadas versando sobre a gratificação em apreço. A ação que dá origem à demanda originária de nº 0138093-28.2006.8.19.0001 diz respeito aos servidores da ativa na qual o Estado do Rio de Janeiro foi condenado ao pagamento da gratificação do ano de 2002.</w:t>
      </w:r>
    </w:p>
    <w:p w14:paraId="672AB181"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4. O substituto processual deflagrou a execução coletiva da sentença em outubro de 2016, mediante a apresentação da memória de cálculo dos valores que entendia devidos.</w:t>
      </w:r>
    </w:p>
    <w:p w14:paraId="6BE88717"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5. Na linha do entendimento firmado pelo STJ "o ajuizamento da ação de execução coletiva pelo sindicato interrompe a contagem do prazo prescricional, recomeçando a correr pela metade, isto é, em dois anos e meio, a partir do último ato processual da causa interruptiva, nos termos do art. 9º do Decreto n. 20.910/32, resguardado o prazo mínimo de cinco anos" (Apud o contido no EREsp 1.121.138/RS, rel. Ministro Humberto Martins, Corte Especial, DJe 18/06/2019; AgInt no REsp 2.003.355/DF, Rel. Ministro Gurgel de Farias, Primeira Turma, DJe de 03/10/2022; AgInt no AREsp n. 2.207.275/RJ, relatora Ministra Assusete Magalhães, Segunda Turma, julgado em 6/3/2023, DJe de 15/3/2023).</w:t>
      </w:r>
    </w:p>
    <w:p w14:paraId="52936667"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lastRenderedPageBreak/>
        <w:t xml:space="preserve">6. Registre-se que não se desconhece a afetação dos REsp nº 1.180.615 e 16774.204 ao rito dos recursos repetitivos (Tema 1033), no intuito de definir em caráter vinculante se a execução coletiva possui o condão de interromper o prazo prescricional. Contudo, </w:t>
      </w:r>
      <w:r w:rsidRPr="00794743">
        <w:rPr>
          <w:rFonts w:eastAsia="Garamond"/>
          <w:b/>
          <w:bCs/>
          <w:color w:val="000000"/>
          <w:sz w:val="20"/>
          <w:szCs w:val="20"/>
          <w:u w:val="single"/>
        </w:rPr>
        <w:t>ainda não houve definição da tese, tampouco determinação de suspensão dos recursos, senão dos dirigidos ao STJ. Consequentemente, não há obstáculo ao enfrentamento do presente apelo.</w:t>
      </w:r>
    </w:p>
    <w:p w14:paraId="7BCC70BB"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7. No caso concreto, observa-se que a exequente distribuiu o cumprimento individual da sentença em 02/12/2020, evidentemente antes do encerramento da execução coletiva, pois ainda está em curso. Consequentemente, não há falar em prescrição da pretensão executória.</w:t>
      </w:r>
    </w:p>
    <w:p w14:paraId="6D0DA4AD"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8. A execução coletiva ainda está em curso. Logo, não há transgressão a tese firmada no Tema 877 do STJ, conforme reiteradamente vinha decidindo a antiga câmara preventa.</w:t>
      </w:r>
    </w:p>
    <w:p w14:paraId="3F736CAB"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9. Sendo assim, anulação da sentença que se impõe para determinar o regular prosseguimento do feito.</w:t>
      </w:r>
    </w:p>
    <w:p w14:paraId="4A1CC4A5" w14:textId="77777777" w:rsidR="00794743" w:rsidRPr="00794743" w:rsidRDefault="00794743" w:rsidP="00794743">
      <w:pPr>
        <w:ind w:left="2268"/>
        <w:jc w:val="both"/>
        <w:rPr>
          <w:rFonts w:eastAsia="Garamond"/>
          <w:color w:val="000000"/>
          <w:sz w:val="20"/>
          <w:szCs w:val="20"/>
        </w:rPr>
      </w:pPr>
      <w:r w:rsidRPr="00794743">
        <w:rPr>
          <w:rFonts w:eastAsia="Garamond"/>
          <w:color w:val="000000"/>
          <w:sz w:val="20"/>
          <w:szCs w:val="20"/>
        </w:rPr>
        <w:t>10. DÁ-SE PROVIMENTO AO RECURSO.</w:t>
      </w:r>
    </w:p>
    <w:p w14:paraId="4DD2D18F" w14:textId="4CB0D6B1" w:rsidR="00062A78" w:rsidRPr="00062A78" w:rsidRDefault="00794743" w:rsidP="00794743">
      <w:pPr>
        <w:ind w:left="2268"/>
        <w:jc w:val="both"/>
        <w:rPr>
          <w:rFonts w:eastAsia="Garamond"/>
          <w:color w:val="000000"/>
          <w:sz w:val="20"/>
          <w:szCs w:val="20"/>
        </w:rPr>
      </w:pPr>
      <w:r w:rsidRPr="00794743">
        <w:rPr>
          <w:rFonts w:eastAsia="Garamond"/>
          <w:color w:val="000000"/>
          <w:sz w:val="20"/>
          <w:szCs w:val="20"/>
        </w:rPr>
        <w:t>(0008654-59.2020.8.19.0037 - APELAÇÃO. Des(a). SÉRGIO SEABRA VARELLA - Julgamento: 26/10/2023 - QUARTA CAMARA DE DIREITO PUBLICO (ANTIGA 7ª CÂMARA)</w:t>
      </w:r>
      <w:r w:rsidR="00062A78">
        <w:rPr>
          <w:rFonts w:eastAsia="Garamond"/>
          <w:color w:val="000000"/>
          <w:sz w:val="20"/>
          <w:szCs w:val="20"/>
        </w:rPr>
        <w:t xml:space="preserve"> (</w:t>
      </w:r>
      <w:r w:rsidR="00062A78">
        <w:rPr>
          <w:rFonts w:eastAsia="Garamond"/>
          <w:b/>
          <w:bCs/>
          <w:color w:val="000000"/>
          <w:sz w:val="20"/>
          <w:szCs w:val="20"/>
        </w:rPr>
        <w:t>Grifos nossos</w:t>
      </w:r>
      <w:r w:rsidR="00062A78">
        <w:rPr>
          <w:rFonts w:eastAsia="Garamond"/>
          <w:color w:val="000000"/>
          <w:sz w:val="20"/>
          <w:szCs w:val="20"/>
        </w:rPr>
        <w:t>)</w:t>
      </w:r>
    </w:p>
    <w:p w14:paraId="394C3BC8" w14:textId="77777777" w:rsidR="0091368C" w:rsidRPr="00AA1A87" w:rsidRDefault="0091368C" w:rsidP="0091368C">
      <w:pPr>
        <w:spacing w:line="360" w:lineRule="auto"/>
        <w:jc w:val="both"/>
        <w:rPr>
          <w:rFonts w:eastAsia="Garamond"/>
        </w:rPr>
      </w:pPr>
    </w:p>
    <w:p w14:paraId="48E6611E" w14:textId="77777777" w:rsidR="0091368C" w:rsidRPr="00AA1A87" w:rsidRDefault="0091368C" w:rsidP="0091368C">
      <w:pPr>
        <w:spacing w:line="360" w:lineRule="auto"/>
        <w:jc w:val="center"/>
        <w:rPr>
          <w:rFonts w:eastAsia="Garamond"/>
          <w:b/>
          <w:u w:val="single"/>
        </w:rPr>
      </w:pPr>
      <w:r w:rsidRPr="00AA1A87">
        <w:rPr>
          <w:rFonts w:eastAsia="Garamond"/>
          <w:b/>
          <w:u w:val="single"/>
        </w:rPr>
        <w:t>DAS OMISSÕES</w:t>
      </w:r>
    </w:p>
    <w:p w14:paraId="23564C48" w14:textId="77777777" w:rsidR="0043124E" w:rsidRDefault="0091368C" w:rsidP="0091368C">
      <w:pPr>
        <w:spacing w:line="360" w:lineRule="auto"/>
        <w:jc w:val="center"/>
        <w:rPr>
          <w:rFonts w:eastAsia="Garamond"/>
          <w:b/>
          <w:u w:val="single"/>
        </w:rPr>
      </w:pPr>
      <w:r w:rsidRPr="00AA1A87">
        <w:rPr>
          <w:rFonts w:eastAsia="Garamond"/>
          <w:b/>
          <w:u w:val="single"/>
        </w:rPr>
        <w:t xml:space="preserve">- Da Não Incidência </w:t>
      </w:r>
      <w:r w:rsidR="00794743">
        <w:rPr>
          <w:rFonts w:eastAsia="Garamond"/>
          <w:b/>
          <w:u w:val="single"/>
        </w:rPr>
        <w:t>de</w:t>
      </w:r>
      <w:r w:rsidRPr="00AA1A87">
        <w:rPr>
          <w:rFonts w:eastAsia="Garamond"/>
          <w:b/>
          <w:u w:val="single"/>
        </w:rPr>
        <w:t xml:space="preserve"> </w:t>
      </w:r>
      <w:r w:rsidR="00794743">
        <w:rPr>
          <w:rFonts w:eastAsia="Garamond"/>
          <w:b/>
          <w:u w:val="single"/>
        </w:rPr>
        <w:t xml:space="preserve">Suspensão </w:t>
      </w:r>
      <w:r w:rsidRPr="00AA1A87">
        <w:rPr>
          <w:rFonts w:eastAsia="Garamond"/>
          <w:b/>
          <w:u w:val="single"/>
        </w:rPr>
        <w:t>na Presente Demanda</w:t>
      </w:r>
      <w:r w:rsidR="0043124E">
        <w:rPr>
          <w:rFonts w:eastAsia="Garamond"/>
          <w:b/>
          <w:u w:val="single"/>
        </w:rPr>
        <w:t xml:space="preserve"> – </w:t>
      </w:r>
    </w:p>
    <w:p w14:paraId="49F251D9" w14:textId="1897A7D6" w:rsidR="0091368C" w:rsidRPr="00AA1A87" w:rsidRDefault="0043124E" w:rsidP="0091368C">
      <w:pPr>
        <w:spacing w:line="360" w:lineRule="auto"/>
        <w:jc w:val="center"/>
        <w:rPr>
          <w:rFonts w:eastAsia="Garamond"/>
          <w:b/>
          <w:u w:val="single"/>
        </w:rPr>
      </w:pPr>
      <w:r>
        <w:rPr>
          <w:rFonts w:eastAsia="Garamond"/>
          <w:b/>
          <w:u w:val="single"/>
        </w:rPr>
        <w:t>- Falta de previsão legal</w:t>
      </w:r>
      <w:r w:rsidR="0091368C" w:rsidRPr="00AA1A87">
        <w:rPr>
          <w:rFonts w:eastAsia="Garamond"/>
          <w:b/>
          <w:u w:val="single"/>
        </w:rPr>
        <w:t xml:space="preserve"> -                                          </w:t>
      </w:r>
    </w:p>
    <w:p w14:paraId="11759062" w14:textId="77777777" w:rsidR="00794743" w:rsidRDefault="00794743" w:rsidP="00794743">
      <w:pPr>
        <w:ind w:firstLine="709"/>
        <w:jc w:val="both"/>
        <w:rPr>
          <w:rFonts w:eastAsia="Garamond"/>
          <w:sz w:val="23"/>
          <w:szCs w:val="23"/>
        </w:rPr>
      </w:pPr>
    </w:p>
    <w:p w14:paraId="1E405C3E" w14:textId="1FE49D11" w:rsidR="0091368C" w:rsidRDefault="0091368C" w:rsidP="00794743">
      <w:pPr>
        <w:spacing w:line="360" w:lineRule="auto"/>
        <w:ind w:firstLine="709"/>
        <w:jc w:val="both"/>
        <w:rPr>
          <w:rFonts w:eastAsia="Garamond"/>
          <w:sz w:val="23"/>
          <w:szCs w:val="23"/>
        </w:rPr>
      </w:pPr>
      <w:r w:rsidRPr="00AA1A87">
        <w:rPr>
          <w:rFonts w:eastAsia="Garamond"/>
          <w:sz w:val="23"/>
          <w:szCs w:val="23"/>
        </w:rPr>
        <w:t xml:space="preserve">A Decisão Embargada </w:t>
      </w:r>
      <w:r w:rsidR="00794743">
        <w:rPr>
          <w:rFonts w:eastAsia="Garamond"/>
          <w:sz w:val="23"/>
          <w:szCs w:val="23"/>
        </w:rPr>
        <w:t xml:space="preserve">determinou a suspensão da Ação em razão de Decisão em Agravo de instrumento nº </w:t>
      </w:r>
      <w:r w:rsidR="00794743" w:rsidRPr="00794743">
        <w:rPr>
          <w:rFonts w:eastAsia="Garamond"/>
          <w:sz w:val="23"/>
          <w:szCs w:val="23"/>
        </w:rPr>
        <w:t xml:space="preserve">00419455920238190000 </w:t>
      </w:r>
      <w:r w:rsidR="00794743">
        <w:rPr>
          <w:rFonts w:eastAsia="Garamond"/>
          <w:sz w:val="23"/>
          <w:szCs w:val="23"/>
        </w:rPr>
        <w:t>de relatoria do Sr. Dr. Desembargador</w:t>
      </w:r>
      <w:r w:rsidR="00794743" w:rsidRPr="00794743">
        <w:rPr>
          <w:rFonts w:eastAsia="Garamond"/>
          <w:sz w:val="23"/>
          <w:szCs w:val="23"/>
        </w:rPr>
        <w:t xml:space="preserve"> </w:t>
      </w:r>
      <w:r w:rsidR="00794743" w:rsidRPr="00794743">
        <w:rPr>
          <w:rFonts w:eastAsia="Garamond"/>
          <w:sz w:val="23"/>
          <w:szCs w:val="23"/>
        </w:rPr>
        <w:t xml:space="preserve">Alexandre Teixeira </w:t>
      </w:r>
      <w:r w:rsidR="00794743">
        <w:rPr>
          <w:rFonts w:eastAsia="Garamond"/>
          <w:sz w:val="23"/>
          <w:szCs w:val="23"/>
        </w:rPr>
        <w:t>d</w:t>
      </w:r>
      <w:r w:rsidR="00794743" w:rsidRPr="00794743">
        <w:rPr>
          <w:rFonts w:eastAsia="Garamond"/>
          <w:sz w:val="23"/>
          <w:szCs w:val="23"/>
        </w:rPr>
        <w:t>e Souza</w:t>
      </w:r>
      <w:r w:rsidR="00794743">
        <w:rPr>
          <w:rFonts w:eastAsia="Garamond"/>
          <w:sz w:val="23"/>
          <w:szCs w:val="23"/>
        </w:rPr>
        <w:t>, contudo, tal decisão não merece prosperar.</w:t>
      </w:r>
    </w:p>
    <w:p w14:paraId="34A993C5" w14:textId="77777777" w:rsidR="0043124E" w:rsidRDefault="0043124E" w:rsidP="0043124E">
      <w:pPr>
        <w:ind w:firstLine="709"/>
        <w:jc w:val="both"/>
        <w:rPr>
          <w:rFonts w:eastAsia="Garamond"/>
          <w:sz w:val="23"/>
          <w:szCs w:val="23"/>
        </w:rPr>
      </w:pPr>
    </w:p>
    <w:p w14:paraId="7B0CD809" w14:textId="6EA5A3FC" w:rsidR="0043124E" w:rsidRDefault="0043124E" w:rsidP="00794743">
      <w:pPr>
        <w:spacing w:line="360" w:lineRule="auto"/>
        <w:ind w:firstLine="709"/>
        <w:jc w:val="both"/>
        <w:rPr>
          <w:rFonts w:eastAsia="Garamond"/>
          <w:sz w:val="23"/>
          <w:szCs w:val="23"/>
        </w:rPr>
      </w:pPr>
      <w:r>
        <w:rPr>
          <w:rFonts w:eastAsia="Garamond"/>
          <w:sz w:val="23"/>
          <w:szCs w:val="23"/>
        </w:rPr>
        <w:t xml:space="preserve">Quanto ao tema Suspensão Processual é necessário analisar o rol taxativo que o Código de Processo Civil apresenta no art. 313, </w:t>
      </w:r>
      <w:r>
        <w:rPr>
          <w:rFonts w:eastAsia="Garamond"/>
          <w:i/>
          <w:iCs/>
          <w:sz w:val="23"/>
          <w:szCs w:val="23"/>
        </w:rPr>
        <w:t>in verbis</w:t>
      </w:r>
      <w:r>
        <w:rPr>
          <w:rFonts w:eastAsia="Garamond"/>
          <w:sz w:val="23"/>
          <w:szCs w:val="23"/>
        </w:rPr>
        <w:t>:</w:t>
      </w:r>
    </w:p>
    <w:p w14:paraId="41E313AE" w14:textId="77777777" w:rsidR="0043124E" w:rsidRPr="0043124E" w:rsidRDefault="0043124E" w:rsidP="0043124E">
      <w:pPr>
        <w:ind w:left="2268"/>
        <w:jc w:val="both"/>
        <w:rPr>
          <w:rFonts w:eastAsia="Garamond"/>
          <w:sz w:val="20"/>
          <w:szCs w:val="20"/>
        </w:rPr>
      </w:pPr>
      <w:r w:rsidRPr="0043124E">
        <w:rPr>
          <w:rFonts w:eastAsia="Garamond"/>
          <w:sz w:val="20"/>
          <w:szCs w:val="20"/>
        </w:rPr>
        <w:t>Art. 313. Suspende-se o processo:</w:t>
      </w:r>
    </w:p>
    <w:p w14:paraId="4A44E454" w14:textId="77777777" w:rsidR="0043124E" w:rsidRPr="0043124E" w:rsidRDefault="0043124E" w:rsidP="0043124E">
      <w:pPr>
        <w:ind w:left="2268"/>
        <w:jc w:val="both"/>
        <w:rPr>
          <w:rFonts w:eastAsia="Garamond"/>
          <w:sz w:val="20"/>
          <w:szCs w:val="20"/>
        </w:rPr>
      </w:pPr>
      <w:r w:rsidRPr="0043124E">
        <w:rPr>
          <w:rFonts w:eastAsia="Garamond"/>
          <w:sz w:val="20"/>
          <w:szCs w:val="20"/>
        </w:rPr>
        <w:t>I - pela morte ou pela perda da capacidade processual de qualquer das partes, de seu representante legal ou de seu procurador;</w:t>
      </w:r>
    </w:p>
    <w:p w14:paraId="037CDC0F" w14:textId="77777777" w:rsidR="0043124E" w:rsidRPr="0043124E" w:rsidRDefault="0043124E" w:rsidP="0043124E">
      <w:pPr>
        <w:ind w:left="2268"/>
        <w:jc w:val="both"/>
        <w:rPr>
          <w:rFonts w:eastAsia="Garamond"/>
          <w:sz w:val="20"/>
          <w:szCs w:val="20"/>
        </w:rPr>
      </w:pPr>
      <w:r w:rsidRPr="0043124E">
        <w:rPr>
          <w:rFonts w:eastAsia="Garamond"/>
          <w:sz w:val="20"/>
          <w:szCs w:val="20"/>
        </w:rPr>
        <w:t>II - pela convenção das partes;</w:t>
      </w:r>
    </w:p>
    <w:p w14:paraId="39A55D40" w14:textId="77777777" w:rsidR="0043124E" w:rsidRPr="0043124E" w:rsidRDefault="0043124E" w:rsidP="0043124E">
      <w:pPr>
        <w:ind w:left="2268"/>
        <w:jc w:val="both"/>
        <w:rPr>
          <w:rFonts w:eastAsia="Garamond"/>
          <w:sz w:val="20"/>
          <w:szCs w:val="20"/>
        </w:rPr>
      </w:pPr>
      <w:r w:rsidRPr="0043124E">
        <w:rPr>
          <w:rFonts w:eastAsia="Garamond"/>
          <w:sz w:val="20"/>
          <w:szCs w:val="20"/>
        </w:rPr>
        <w:t>III - pela arguição de impedimento ou de suspeição;</w:t>
      </w:r>
    </w:p>
    <w:p w14:paraId="0065AE16" w14:textId="77777777" w:rsidR="0043124E" w:rsidRPr="0043124E" w:rsidRDefault="0043124E" w:rsidP="0043124E">
      <w:pPr>
        <w:ind w:left="2268"/>
        <w:jc w:val="both"/>
        <w:rPr>
          <w:rFonts w:eastAsia="Garamond"/>
          <w:sz w:val="20"/>
          <w:szCs w:val="20"/>
        </w:rPr>
      </w:pPr>
      <w:r w:rsidRPr="0043124E">
        <w:rPr>
          <w:rFonts w:eastAsia="Garamond"/>
          <w:sz w:val="20"/>
          <w:szCs w:val="20"/>
        </w:rPr>
        <w:t>IV- pela admissão de incidente de resolução de demandas repetitivas;</w:t>
      </w:r>
    </w:p>
    <w:p w14:paraId="02E61057" w14:textId="77777777" w:rsidR="0043124E" w:rsidRPr="0043124E" w:rsidRDefault="0043124E" w:rsidP="0043124E">
      <w:pPr>
        <w:ind w:left="2268"/>
        <w:jc w:val="both"/>
        <w:rPr>
          <w:rFonts w:eastAsia="Garamond"/>
          <w:sz w:val="20"/>
          <w:szCs w:val="20"/>
        </w:rPr>
      </w:pPr>
      <w:r w:rsidRPr="0043124E">
        <w:rPr>
          <w:rFonts w:eastAsia="Garamond"/>
          <w:sz w:val="20"/>
          <w:szCs w:val="20"/>
        </w:rPr>
        <w:t>V - quando a sentença de mérito:</w:t>
      </w:r>
    </w:p>
    <w:p w14:paraId="5662EADF" w14:textId="77777777" w:rsidR="0043124E" w:rsidRPr="0043124E" w:rsidRDefault="0043124E" w:rsidP="0043124E">
      <w:pPr>
        <w:ind w:left="2268"/>
        <w:jc w:val="both"/>
        <w:rPr>
          <w:rFonts w:eastAsia="Garamond"/>
          <w:sz w:val="20"/>
          <w:szCs w:val="20"/>
        </w:rPr>
      </w:pPr>
      <w:r w:rsidRPr="0043124E">
        <w:rPr>
          <w:rFonts w:eastAsia="Garamond"/>
          <w:sz w:val="20"/>
          <w:szCs w:val="20"/>
        </w:rPr>
        <w:t>a) depender do julgamento de outra causa ou da declaração de existência ou de inexistência de relação jurídica que constitua o objeto principal de outro processo pendente;</w:t>
      </w:r>
    </w:p>
    <w:p w14:paraId="49F005D3" w14:textId="77777777" w:rsidR="0043124E" w:rsidRPr="0043124E" w:rsidRDefault="0043124E" w:rsidP="0043124E">
      <w:pPr>
        <w:ind w:left="2268"/>
        <w:jc w:val="both"/>
        <w:rPr>
          <w:rFonts w:eastAsia="Garamond"/>
          <w:sz w:val="20"/>
          <w:szCs w:val="20"/>
        </w:rPr>
      </w:pPr>
      <w:r w:rsidRPr="0043124E">
        <w:rPr>
          <w:rFonts w:eastAsia="Garamond"/>
          <w:sz w:val="20"/>
          <w:szCs w:val="20"/>
        </w:rPr>
        <w:t>b) tiver de ser proferida somente após a verificação de determinado fato ou a produção de certa prova, requisitada a outro juízo;</w:t>
      </w:r>
    </w:p>
    <w:p w14:paraId="0F1425C5" w14:textId="77777777" w:rsidR="0043124E" w:rsidRPr="0043124E" w:rsidRDefault="0043124E" w:rsidP="0043124E">
      <w:pPr>
        <w:ind w:left="2268"/>
        <w:jc w:val="both"/>
        <w:rPr>
          <w:rFonts w:eastAsia="Garamond"/>
          <w:sz w:val="20"/>
          <w:szCs w:val="20"/>
        </w:rPr>
      </w:pPr>
      <w:r w:rsidRPr="0043124E">
        <w:rPr>
          <w:rFonts w:eastAsia="Garamond"/>
          <w:sz w:val="20"/>
          <w:szCs w:val="20"/>
        </w:rPr>
        <w:t>VI - por motivo de força maior;</w:t>
      </w:r>
    </w:p>
    <w:p w14:paraId="0F4AD62E" w14:textId="77777777" w:rsidR="0043124E" w:rsidRPr="0043124E" w:rsidRDefault="0043124E" w:rsidP="0043124E">
      <w:pPr>
        <w:ind w:left="2268"/>
        <w:jc w:val="both"/>
        <w:rPr>
          <w:rFonts w:eastAsia="Garamond"/>
          <w:sz w:val="20"/>
          <w:szCs w:val="20"/>
        </w:rPr>
      </w:pPr>
      <w:r w:rsidRPr="0043124E">
        <w:rPr>
          <w:rFonts w:eastAsia="Garamond"/>
          <w:sz w:val="20"/>
          <w:szCs w:val="20"/>
        </w:rPr>
        <w:t>VII - quando se discutir em juízo questão decorrente de acidentes e fatos da navegação de competência do Tribunal Marítimo;</w:t>
      </w:r>
    </w:p>
    <w:p w14:paraId="46039B4A" w14:textId="77777777" w:rsidR="0043124E" w:rsidRPr="0043124E" w:rsidRDefault="0043124E" w:rsidP="0043124E">
      <w:pPr>
        <w:ind w:left="2268"/>
        <w:jc w:val="both"/>
        <w:rPr>
          <w:rFonts w:eastAsia="Garamond"/>
          <w:sz w:val="20"/>
          <w:szCs w:val="20"/>
        </w:rPr>
      </w:pPr>
      <w:r w:rsidRPr="0043124E">
        <w:rPr>
          <w:rFonts w:eastAsia="Garamond"/>
          <w:sz w:val="20"/>
          <w:szCs w:val="20"/>
        </w:rPr>
        <w:t>VIII - nos demais casos que este Código regula.</w:t>
      </w:r>
    </w:p>
    <w:p w14:paraId="48A183A9" w14:textId="77777777" w:rsidR="0043124E" w:rsidRPr="0043124E" w:rsidRDefault="0043124E" w:rsidP="0043124E">
      <w:pPr>
        <w:ind w:left="2268"/>
        <w:jc w:val="both"/>
        <w:rPr>
          <w:rFonts w:eastAsia="Garamond"/>
          <w:sz w:val="20"/>
          <w:szCs w:val="20"/>
        </w:rPr>
      </w:pPr>
      <w:r w:rsidRPr="0043124E">
        <w:rPr>
          <w:rFonts w:eastAsia="Garamond"/>
          <w:sz w:val="20"/>
          <w:szCs w:val="20"/>
        </w:rPr>
        <w:t>IX - pelo parto ou pela concessão de adoção, quando a advogada responsável pelo processo constituir a única patrona da causa;         (Incluído pela Lei nº 13.363, de 2016)</w:t>
      </w:r>
    </w:p>
    <w:p w14:paraId="270BC23C" w14:textId="77777777" w:rsidR="0043124E" w:rsidRPr="0043124E" w:rsidRDefault="0043124E" w:rsidP="0043124E">
      <w:pPr>
        <w:ind w:left="2268"/>
        <w:jc w:val="both"/>
        <w:rPr>
          <w:rFonts w:eastAsia="Garamond"/>
          <w:sz w:val="20"/>
          <w:szCs w:val="20"/>
        </w:rPr>
      </w:pPr>
      <w:r w:rsidRPr="0043124E">
        <w:rPr>
          <w:rFonts w:eastAsia="Garamond"/>
          <w:sz w:val="20"/>
          <w:szCs w:val="20"/>
        </w:rPr>
        <w:t>X - quando o advogado responsável pelo processo constituir o único patrono da causa e tornar-se pai.         (Incluído pela Lei nº 13.363, de 2016)</w:t>
      </w:r>
    </w:p>
    <w:p w14:paraId="787D3675" w14:textId="2F5D1CA4" w:rsidR="0043124E" w:rsidRDefault="0043124E" w:rsidP="0043124E">
      <w:pPr>
        <w:ind w:left="2268"/>
        <w:jc w:val="both"/>
        <w:rPr>
          <w:rFonts w:eastAsia="Garamond"/>
          <w:sz w:val="20"/>
          <w:szCs w:val="20"/>
        </w:rPr>
      </w:pPr>
      <w:r>
        <w:rPr>
          <w:rFonts w:eastAsia="Garamond"/>
          <w:sz w:val="20"/>
          <w:szCs w:val="20"/>
        </w:rPr>
        <w:lastRenderedPageBreak/>
        <w:t>[...]</w:t>
      </w:r>
    </w:p>
    <w:p w14:paraId="5DACF4DD" w14:textId="1C5B5FF7" w:rsidR="0043124E" w:rsidRPr="0043124E" w:rsidRDefault="0043124E" w:rsidP="0043124E">
      <w:pPr>
        <w:ind w:left="2268"/>
        <w:jc w:val="both"/>
        <w:rPr>
          <w:rFonts w:eastAsia="Garamond"/>
          <w:sz w:val="20"/>
          <w:szCs w:val="20"/>
        </w:rPr>
      </w:pPr>
      <w:r w:rsidRPr="0043124E">
        <w:rPr>
          <w:rFonts w:eastAsia="Garamond"/>
          <w:sz w:val="20"/>
          <w:szCs w:val="20"/>
        </w:rPr>
        <w:t>§ 4º O prazo de suspensão do processo nunca poderá exceder 1 (um) ano nas hipóteses do inciso V e 6 (seis) meses naquela prevista no inciso II.</w:t>
      </w:r>
    </w:p>
    <w:p w14:paraId="19F101DB" w14:textId="77777777" w:rsidR="0043124E" w:rsidRPr="0043124E" w:rsidRDefault="0043124E" w:rsidP="0043124E">
      <w:pPr>
        <w:ind w:left="2268"/>
        <w:jc w:val="both"/>
        <w:rPr>
          <w:rFonts w:eastAsia="Garamond"/>
          <w:sz w:val="20"/>
          <w:szCs w:val="20"/>
        </w:rPr>
      </w:pPr>
      <w:r w:rsidRPr="0043124E">
        <w:rPr>
          <w:rFonts w:eastAsia="Garamond"/>
          <w:sz w:val="20"/>
          <w:szCs w:val="20"/>
        </w:rPr>
        <w:t>§ 5º O juiz determinará o prosseguimento do processo assim que esgotados os prazos previstos no § 4º.</w:t>
      </w:r>
    </w:p>
    <w:p w14:paraId="4DE0EAA7" w14:textId="77777777" w:rsidR="0043124E" w:rsidRPr="0043124E" w:rsidRDefault="0043124E" w:rsidP="0043124E">
      <w:pPr>
        <w:ind w:left="2268"/>
        <w:jc w:val="both"/>
        <w:rPr>
          <w:rFonts w:eastAsia="Garamond"/>
          <w:sz w:val="20"/>
          <w:szCs w:val="20"/>
        </w:rPr>
      </w:pPr>
    </w:p>
    <w:p w14:paraId="28FEDA01" w14:textId="77777777" w:rsidR="00794743" w:rsidRDefault="00794743" w:rsidP="00794743">
      <w:pPr>
        <w:ind w:firstLine="709"/>
        <w:jc w:val="both"/>
        <w:rPr>
          <w:rFonts w:eastAsia="Garamond"/>
          <w:sz w:val="23"/>
          <w:szCs w:val="23"/>
        </w:rPr>
      </w:pPr>
    </w:p>
    <w:p w14:paraId="7F7514AF" w14:textId="359DB6F5" w:rsidR="0043124E" w:rsidRDefault="0043124E" w:rsidP="0043124E">
      <w:pPr>
        <w:spacing w:line="360" w:lineRule="auto"/>
        <w:ind w:firstLine="709"/>
        <w:jc w:val="both"/>
        <w:rPr>
          <w:rFonts w:eastAsia="Garamond"/>
        </w:rPr>
      </w:pPr>
      <w:r w:rsidRPr="0043124E">
        <w:rPr>
          <w:rFonts w:eastAsia="Garamond"/>
        </w:rPr>
        <w:t xml:space="preserve">Não há qualquer ordem do Tribunal de Justiça do estado do Rio de Janeiro ou </w:t>
      </w:r>
      <w:r>
        <w:rPr>
          <w:rFonts w:eastAsia="Garamond"/>
        </w:rPr>
        <w:t>d</w:t>
      </w:r>
      <w:r w:rsidRPr="0043124E">
        <w:rPr>
          <w:rFonts w:eastAsia="Garamond"/>
        </w:rPr>
        <w:t xml:space="preserve">o Superior Tribunal de Justiça para que feitos em </w:t>
      </w:r>
      <w:r w:rsidR="0002643E">
        <w:rPr>
          <w:rFonts w:eastAsia="Garamond"/>
        </w:rPr>
        <w:t>primeira</w:t>
      </w:r>
      <w:r w:rsidRPr="0043124E">
        <w:rPr>
          <w:rFonts w:eastAsia="Garamond"/>
        </w:rPr>
        <w:t xml:space="preserve"> instância sejam suspensos. Conforme vastamente comprovado na Petição Inicial e </w:t>
      </w:r>
      <w:r>
        <w:rPr>
          <w:rFonts w:eastAsia="Garamond"/>
        </w:rPr>
        <w:t>em Resposta à Impugnação do Estado Réu, os parâmetros quanto ao tema estão pacificados no Tribunal de Justiça do estado do Rio de Janeiro, sejam nas Decisões da antiga Câmara preventa (antiga 15ª Câmara Cível) ou na atual Câmara Preventa (Sexta Câmara de Direito Público).</w:t>
      </w:r>
    </w:p>
    <w:p w14:paraId="7B2B2ECC" w14:textId="77777777" w:rsidR="0043124E" w:rsidRDefault="0043124E" w:rsidP="0043124E">
      <w:pPr>
        <w:ind w:firstLine="709"/>
        <w:jc w:val="both"/>
        <w:rPr>
          <w:rFonts w:eastAsia="Garamond"/>
        </w:rPr>
      </w:pPr>
    </w:p>
    <w:p w14:paraId="5B532157" w14:textId="642F57D9" w:rsidR="0043124E" w:rsidRPr="0043124E" w:rsidRDefault="0043124E" w:rsidP="0043124E">
      <w:pPr>
        <w:spacing w:line="360" w:lineRule="auto"/>
        <w:ind w:firstLine="709"/>
        <w:jc w:val="both"/>
        <w:rPr>
          <w:rFonts w:eastAsia="Garamond"/>
        </w:rPr>
      </w:pPr>
      <w:r>
        <w:rPr>
          <w:rFonts w:eastAsia="Garamond"/>
        </w:rPr>
        <w:t>A Decisão que baseia a Decisão Embargada sequer foi prolatada pela atual Câmara Preventa, que segue julgando os demais Recursos sobre o tema “Nova Escola” sem determinar Suspensão das Ações.</w:t>
      </w:r>
      <w:r w:rsidR="0002643E">
        <w:rPr>
          <w:rFonts w:eastAsia="Garamond"/>
        </w:rPr>
        <w:t xml:space="preserve"> </w:t>
      </w:r>
    </w:p>
    <w:p w14:paraId="62617658" w14:textId="77777777" w:rsidR="0043124E" w:rsidRDefault="0043124E" w:rsidP="0002643E">
      <w:pPr>
        <w:ind w:firstLine="709"/>
        <w:jc w:val="both"/>
        <w:rPr>
          <w:rFonts w:eastAsia="Garamond"/>
          <w:sz w:val="23"/>
          <w:szCs w:val="23"/>
        </w:rPr>
      </w:pPr>
    </w:p>
    <w:p w14:paraId="19C7933B" w14:textId="31B3727A" w:rsidR="00794743" w:rsidRDefault="00794743" w:rsidP="00794743">
      <w:pPr>
        <w:spacing w:line="360" w:lineRule="auto"/>
        <w:ind w:firstLine="709"/>
        <w:jc w:val="both"/>
        <w:rPr>
          <w:rFonts w:eastAsia="Garamond"/>
        </w:rPr>
      </w:pPr>
      <w:r w:rsidRPr="00794743">
        <w:rPr>
          <w:rFonts w:eastAsia="Garamond"/>
        </w:rPr>
        <w:t xml:space="preserve">Não se desconhece a afetação dos REsp nº 1.180.615 e 16774.204 ao rito dos recursos repetitivos (Tema 1033), em que se pretende definir a interrupção da prescrição mediante ação de protestou ou de execução coletiva. Contudo, ainda não houve definição da tese, </w:t>
      </w:r>
      <w:r w:rsidRPr="00794743">
        <w:rPr>
          <w:rFonts w:eastAsia="Garamond"/>
          <w:b/>
          <w:bCs/>
          <w:u w:val="single"/>
        </w:rPr>
        <w:t>tampouco determinação de suspensão dos recursos, senão dos dirigidos ao STJ</w:t>
      </w:r>
      <w:r w:rsidRPr="00794743">
        <w:rPr>
          <w:rFonts w:eastAsia="Garamond"/>
        </w:rPr>
        <w:t xml:space="preserve">. Consequentemente, não há obstáculo </w:t>
      </w:r>
      <w:r>
        <w:rPr>
          <w:rFonts w:eastAsia="Garamond"/>
        </w:rPr>
        <w:t>à continuidade da ação, com a homologação dos cálculos e/ou envio para contadoria anteriormente à homologação</w:t>
      </w:r>
      <w:r w:rsidRPr="00794743">
        <w:rPr>
          <w:rFonts w:eastAsia="Garamond"/>
        </w:rPr>
        <w:t>.</w:t>
      </w:r>
    </w:p>
    <w:p w14:paraId="25038076" w14:textId="77777777" w:rsidR="0002643E" w:rsidRDefault="0002643E" w:rsidP="0002643E">
      <w:pPr>
        <w:ind w:firstLine="709"/>
        <w:jc w:val="both"/>
        <w:rPr>
          <w:rFonts w:eastAsia="Garamond"/>
        </w:rPr>
      </w:pPr>
    </w:p>
    <w:p w14:paraId="20BAAFEE" w14:textId="2D9D8BFC" w:rsidR="0002643E" w:rsidRDefault="0002643E" w:rsidP="00794743">
      <w:pPr>
        <w:spacing w:line="360" w:lineRule="auto"/>
        <w:ind w:firstLine="709"/>
        <w:jc w:val="both"/>
        <w:rPr>
          <w:rFonts w:eastAsia="Garamond"/>
        </w:rPr>
      </w:pPr>
      <w:r>
        <w:rPr>
          <w:rFonts w:eastAsia="Garamond"/>
        </w:rPr>
        <w:t>O STJ quanto ao tema 1033 determinou: “</w:t>
      </w:r>
      <w:r w:rsidRPr="0002643E">
        <w:rPr>
          <w:rFonts w:eastAsia="Garamond"/>
        </w:rPr>
        <w:t xml:space="preserve">Há determinação de suspensão de todos os </w:t>
      </w:r>
      <w:r w:rsidRPr="0002643E">
        <w:rPr>
          <w:rFonts w:eastAsia="Garamond"/>
          <w:b/>
          <w:bCs/>
        </w:rPr>
        <w:t>recursos especiais e agravos em recurso especial na segunda instância e/ou que tramitem no STJ</w:t>
      </w:r>
      <w:r w:rsidRPr="0002643E">
        <w:rPr>
          <w:rFonts w:eastAsia="Garamond"/>
        </w:rPr>
        <w:t>, que versem acerca da questão delimitada e que tramitem no território nacional (acórdão publicado no DJe de 30/10/2019).</w:t>
      </w:r>
      <w:r>
        <w:rPr>
          <w:rFonts w:eastAsia="Garamond"/>
        </w:rPr>
        <w:t>”. Não há em nenhum momento a determinação de Processos da primeira instância.</w:t>
      </w:r>
    </w:p>
    <w:p w14:paraId="22ADDBE1" w14:textId="77777777" w:rsidR="00794743" w:rsidRDefault="00794743" w:rsidP="0002643E">
      <w:pPr>
        <w:ind w:firstLine="709"/>
        <w:jc w:val="both"/>
        <w:rPr>
          <w:rFonts w:eastAsia="Garamond"/>
        </w:rPr>
      </w:pPr>
    </w:p>
    <w:p w14:paraId="5D2B71CD" w14:textId="6BDF44D3" w:rsidR="00794743" w:rsidRDefault="00794743" w:rsidP="00794743">
      <w:pPr>
        <w:spacing w:line="360" w:lineRule="auto"/>
        <w:ind w:firstLine="709"/>
        <w:jc w:val="both"/>
        <w:rPr>
          <w:rFonts w:eastAsia="Garamond"/>
        </w:rPr>
      </w:pPr>
      <w:r>
        <w:rPr>
          <w:rFonts w:eastAsia="Garamond"/>
        </w:rPr>
        <w:t xml:space="preserve">Sob pena de violação ao </w:t>
      </w:r>
      <w:r>
        <w:rPr>
          <w:rFonts w:eastAsia="Garamond"/>
          <w:color w:val="000000"/>
        </w:rPr>
        <w:t xml:space="preserve">princípio </w:t>
      </w:r>
      <w:r w:rsidRPr="00062A78">
        <w:rPr>
          <w:rFonts w:eastAsia="Garamond"/>
          <w:color w:val="000000"/>
        </w:rPr>
        <w:t>da duração razoável do processo</w:t>
      </w:r>
      <w:r>
        <w:rPr>
          <w:rFonts w:eastAsia="Garamond"/>
          <w:color w:val="000000"/>
        </w:rPr>
        <w:t xml:space="preserve"> resta necessária a revisão da Decisão Embargada e a determinação de continuidade do processo.</w:t>
      </w:r>
    </w:p>
    <w:p w14:paraId="0F00D34D" w14:textId="77777777" w:rsidR="00794743" w:rsidRPr="00AA1A87" w:rsidRDefault="00794743" w:rsidP="00794743">
      <w:pPr>
        <w:spacing w:line="360" w:lineRule="auto"/>
        <w:ind w:firstLine="1134"/>
        <w:jc w:val="both"/>
        <w:rPr>
          <w:rFonts w:eastAsia="Garamond"/>
        </w:rPr>
      </w:pPr>
    </w:p>
    <w:p w14:paraId="363C6144" w14:textId="77777777" w:rsidR="0091368C" w:rsidRPr="00AA1A87" w:rsidRDefault="0091368C" w:rsidP="0091368C">
      <w:pPr>
        <w:spacing w:line="360" w:lineRule="auto"/>
        <w:ind w:firstLine="709"/>
        <w:jc w:val="both"/>
        <w:rPr>
          <w:rFonts w:eastAsia="Calibri"/>
          <w:sz w:val="16"/>
          <w:szCs w:val="16"/>
        </w:rPr>
      </w:pPr>
      <w:r w:rsidRPr="00AA1A87">
        <w:rPr>
          <w:rFonts w:eastAsia="Calibri"/>
        </w:rPr>
        <w:lastRenderedPageBreak/>
        <w:t>Conforme acima assinalado, com base na legislação e na jurisprudência do Supremo Tribunal Federal, bem como do Tribunal de Justiça do estado do Rio de Janeiro, não há cabimento para suspensão dos autos, devendo serem encaminhados para que seja prolatada sentença, uma vez que os autos já se encontram maduros para conclusão.</w:t>
      </w:r>
    </w:p>
    <w:p w14:paraId="456C4093" w14:textId="77777777" w:rsidR="0091368C" w:rsidRPr="00AA1A87" w:rsidRDefault="0091368C" w:rsidP="0091368C">
      <w:pPr>
        <w:jc w:val="center"/>
        <w:rPr>
          <w:rFonts w:eastAsia="Garamond"/>
          <w:b/>
          <w:u w:val="single"/>
        </w:rPr>
      </w:pPr>
    </w:p>
    <w:p w14:paraId="64F61D31" w14:textId="77777777" w:rsidR="0091368C" w:rsidRPr="00AA1A87" w:rsidRDefault="0091368C" w:rsidP="0091368C">
      <w:pPr>
        <w:spacing w:line="360" w:lineRule="auto"/>
        <w:jc w:val="center"/>
        <w:rPr>
          <w:rFonts w:eastAsia="Garamond"/>
          <w:b/>
          <w:u w:val="single"/>
        </w:rPr>
      </w:pPr>
      <w:r w:rsidRPr="00AA1A87">
        <w:rPr>
          <w:rFonts w:eastAsia="Garamond"/>
          <w:b/>
          <w:u w:val="single"/>
        </w:rPr>
        <w:t>CONCLUSÃO</w:t>
      </w:r>
    </w:p>
    <w:p w14:paraId="50CAE02E" w14:textId="77777777" w:rsidR="0091368C" w:rsidRPr="00AA1A87" w:rsidRDefault="0091368C" w:rsidP="0091368C">
      <w:pPr>
        <w:ind w:firstLine="567"/>
        <w:jc w:val="both"/>
        <w:rPr>
          <w:rFonts w:eastAsia="Garamond"/>
        </w:rPr>
      </w:pPr>
    </w:p>
    <w:p w14:paraId="12071676" w14:textId="02199412" w:rsidR="0091368C" w:rsidRPr="00AA1A87" w:rsidRDefault="0091368C" w:rsidP="0091368C">
      <w:pPr>
        <w:spacing w:line="360" w:lineRule="auto"/>
        <w:ind w:firstLine="567"/>
        <w:jc w:val="both"/>
        <w:rPr>
          <w:rFonts w:eastAsia="Garamond"/>
        </w:rPr>
      </w:pPr>
      <w:r w:rsidRPr="00AA1A87">
        <w:rPr>
          <w:rFonts w:eastAsia="Garamond"/>
          <w:color w:val="000000"/>
        </w:rPr>
        <w:t xml:space="preserve">Por todo o exposto, </w:t>
      </w:r>
      <w:r w:rsidRPr="00AA1A87">
        <w:rPr>
          <w:rFonts w:eastAsia="Garamond"/>
          <w:b/>
          <w:color w:val="000000"/>
          <w:u w:val="single"/>
        </w:rPr>
        <w:t>requer</w:t>
      </w:r>
      <w:r w:rsidRPr="00AA1A87">
        <w:rPr>
          <w:rFonts w:eastAsia="Garamond"/>
          <w:color w:val="000000"/>
        </w:rPr>
        <w:t xml:space="preserve"> a V. Exa. a </w:t>
      </w:r>
      <w:r w:rsidRPr="00AA1A87">
        <w:rPr>
          <w:rFonts w:eastAsia="Garamond"/>
          <w:b/>
          <w:color w:val="000000"/>
          <w:u w:val="single"/>
        </w:rPr>
        <w:t>elucidação do</w:t>
      </w:r>
      <w:r w:rsidR="00AB2786" w:rsidRPr="00AA1A87">
        <w:rPr>
          <w:rFonts w:eastAsia="Garamond"/>
          <w:b/>
          <w:color w:val="000000"/>
          <w:u w:val="single"/>
        </w:rPr>
        <w:t>s</w:t>
      </w:r>
      <w:r w:rsidRPr="00AA1A87">
        <w:rPr>
          <w:rFonts w:eastAsia="Garamond"/>
          <w:b/>
          <w:color w:val="000000"/>
          <w:u w:val="single"/>
        </w:rPr>
        <w:t xml:space="preserve"> ponto</w:t>
      </w:r>
      <w:r w:rsidR="00AB2786" w:rsidRPr="00AA1A87">
        <w:rPr>
          <w:rFonts w:eastAsia="Garamond"/>
          <w:b/>
          <w:color w:val="000000"/>
          <w:u w:val="single"/>
        </w:rPr>
        <w:t>s</w:t>
      </w:r>
      <w:r w:rsidRPr="00AA1A87">
        <w:rPr>
          <w:rFonts w:eastAsia="Garamond"/>
          <w:b/>
          <w:color w:val="000000"/>
          <w:u w:val="single"/>
        </w:rPr>
        <w:t xml:space="preserve"> omisso</w:t>
      </w:r>
      <w:r w:rsidR="00AB2786" w:rsidRPr="00AA1A87">
        <w:rPr>
          <w:rFonts w:eastAsia="Garamond"/>
          <w:b/>
          <w:color w:val="000000"/>
          <w:u w:val="single"/>
        </w:rPr>
        <w:t>s</w:t>
      </w:r>
      <w:r w:rsidRPr="00AA1A87">
        <w:rPr>
          <w:rFonts w:eastAsia="Garamond"/>
          <w:color w:val="000000"/>
        </w:rPr>
        <w:t>, para que seja revista a Decisão que determinou a suspensão do feito</w:t>
      </w:r>
      <w:r w:rsidR="00062A78">
        <w:rPr>
          <w:rFonts w:eastAsia="Garamond"/>
          <w:color w:val="000000"/>
        </w:rPr>
        <w:t>, que está em desacordo com as Decisões do Tribunal de Justiça do Estado do Rio de Janeiro, conforme jurisprudência colacionada no início desta peça</w:t>
      </w:r>
      <w:r w:rsidRPr="00AA1A87">
        <w:rPr>
          <w:rFonts w:eastAsia="Garamond"/>
          <w:color w:val="000000"/>
        </w:rPr>
        <w:t>, devendo, portanto, a ação ter prosseguimento com o julgamento da Ação</w:t>
      </w:r>
      <w:r w:rsidR="00062A78">
        <w:rPr>
          <w:rFonts w:eastAsia="Garamond"/>
          <w:color w:val="000000"/>
        </w:rPr>
        <w:t xml:space="preserve">, sob pena de violação ao princípio </w:t>
      </w:r>
      <w:r w:rsidR="00062A78" w:rsidRPr="00062A78">
        <w:rPr>
          <w:rFonts w:eastAsia="Garamond"/>
          <w:color w:val="000000"/>
        </w:rPr>
        <w:t>da duração razoável do processo</w:t>
      </w:r>
      <w:r w:rsidRPr="00AA1A87">
        <w:rPr>
          <w:rFonts w:eastAsia="Garamond"/>
          <w:color w:val="000000"/>
        </w:rPr>
        <w:t>.</w:t>
      </w:r>
    </w:p>
    <w:p w14:paraId="2B8D872A" w14:textId="77777777" w:rsidR="00A22177" w:rsidRPr="00AA1A87" w:rsidRDefault="00000000">
      <w:pPr>
        <w:spacing w:line="360" w:lineRule="auto"/>
        <w:jc w:val="center"/>
        <w:rPr>
          <w:rFonts w:eastAsia="Garamond"/>
          <w:sz w:val="23"/>
          <w:szCs w:val="23"/>
        </w:rPr>
      </w:pPr>
      <w:r w:rsidRPr="00AA1A87">
        <w:rPr>
          <w:rFonts w:eastAsia="Garamond"/>
          <w:sz w:val="23"/>
          <w:szCs w:val="23"/>
        </w:rPr>
        <w:t>Nestes termos, pede deferimento.</w:t>
      </w:r>
    </w:p>
    <w:p w14:paraId="6F871A71" w14:textId="29926836" w:rsidR="00A22177" w:rsidRPr="00AA1A87" w:rsidRDefault="00000000">
      <w:pPr>
        <w:spacing w:line="360" w:lineRule="auto"/>
        <w:jc w:val="center"/>
        <w:rPr>
          <w:rFonts w:eastAsia="Garamond"/>
          <w:sz w:val="23"/>
          <w:szCs w:val="23"/>
        </w:rPr>
      </w:pPr>
      <w:r w:rsidRPr="00AA1A87">
        <w:rPr>
          <w:rFonts w:eastAsia="Garamond"/>
          <w:sz w:val="23"/>
          <w:szCs w:val="23"/>
        </w:rPr>
        <w:t xml:space="preserve">Niterói. </w:t>
      </w:r>
      <w:r w:rsidR="0002643E">
        <w:rPr>
          <w:rFonts w:eastAsia="Garamond"/>
          <w:sz w:val="23"/>
          <w:szCs w:val="23"/>
        </w:rPr>
        <w:t>15 de novembro de 2023</w:t>
      </w:r>
      <w:r w:rsidRPr="00AA1A87">
        <w:rPr>
          <w:rFonts w:eastAsia="Garamond"/>
          <w:sz w:val="23"/>
          <w:szCs w:val="23"/>
        </w:rPr>
        <w:t>.</w:t>
      </w:r>
    </w:p>
    <w:p w14:paraId="2D0E4621" w14:textId="77777777" w:rsidR="00A22177" w:rsidRPr="00AA1A87" w:rsidRDefault="00A22177">
      <w:pPr>
        <w:jc w:val="center"/>
        <w:rPr>
          <w:rFonts w:eastAsia="Garamond"/>
          <w:sz w:val="23"/>
          <w:szCs w:val="23"/>
        </w:rPr>
      </w:pPr>
    </w:p>
    <w:p w14:paraId="17A53B2E" w14:textId="77777777" w:rsidR="00A22177" w:rsidRPr="00AA1A87" w:rsidRDefault="00A22177">
      <w:pPr>
        <w:spacing w:line="360" w:lineRule="auto"/>
        <w:jc w:val="center"/>
        <w:rPr>
          <w:rFonts w:eastAsia="Garamond"/>
          <w:sz w:val="23"/>
          <w:szCs w:val="23"/>
        </w:rPr>
      </w:pPr>
    </w:p>
    <w:tbl>
      <w:tblPr>
        <w:tblStyle w:val="afd"/>
        <w:tblW w:w="9628"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A22177" w:rsidRPr="00AA1A87" w14:paraId="730920D1" w14:textId="77777777">
        <w:tc>
          <w:tcPr>
            <w:tcW w:w="3209" w:type="dxa"/>
          </w:tcPr>
          <w:p w14:paraId="38DC095C" w14:textId="77777777" w:rsidR="00A22177" w:rsidRPr="00AA1A87" w:rsidRDefault="00000000">
            <w:pPr>
              <w:jc w:val="center"/>
              <w:rPr>
                <w:rFonts w:eastAsia="Garamond"/>
                <w:b/>
                <w:smallCaps/>
                <w:color w:val="000000"/>
                <w:sz w:val="23"/>
                <w:szCs w:val="23"/>
              </w:rPr>
            </w:pPr>
            <w:r w:rsidRPr="00AA1A87">
              <w:rPr>
                <w:rFonts w:eastAsia="Garamond"/>
                <w:b/>
                <w:smallCaps/>
                <w:color w:val="000000"/>
                <w:sz w:val="23"/>
                <w:szCs w:val="23"/>
              </w:rPr>
              <w:t>Liz Werner</w:t>
            </w:r>
          </w:p>
          <w:p w14:paraId="6C5FEA5B" w14:textId="77777777" w:rsidR="00A22177" w:rsidRPr="00AA1A87" w:rsidRDefault="00000000">
            <w:pPr>
              <w:jc w:val="center"/>
              <w:rPr>
                <w:rFonts w:eastAsia="Garamond"/>
                <w:sz w:val="23"/>
                <w:szCs w:val="23"/>
              </w:rPr>
            </w:pPr>
            <w:r w:rsidRPr="00AA1A87">
              <w:rPr>
                <w:rFonts w:eastAsia="Garamond"/>
                <w:b/>
                <w:sz w:val="23"/>
                <w:szCs w:val="23"/>
              </w:rPr>
              <w:t>OAB/RJ 184.888</w:t>
            </w:r>
          </w:p>
        </w:tc>
        <w:tc>
          <w:tcPr>
            <w:tcW w:w="3209" w:type="dxa"/>
          </w:tcPr>
          <w:p w14:paraId="36AEA064" w14:textId="77777777" w:rsidR="00A22177" w:rsidRPr="00AA1A87" w:rsidRDefault="00000000">
            <w:pPr>
              <w:jc w:val="center"/>
              <w:rPr>
                <w:rFonts w:eastAsia="Garamond"/>
                <w:b/>
                <w:smallCaps/>
                <w:color w:val="000000"/>
                <w:sz w:val="23"/>
                <w:szCs w:val="23"/>
              </w:rPr>
            </w:pPr>
            <w:r w:rsidRPr="00AA1A87">
              <w:rPr>
                <w:rFonts w:eastAsia="Garamond"/>
                <w:b/>
                <w:smallCaps/>
                <w:color w:val="000000"/>
                <w:sz w:val="23"/>
                <w:szCs w:val="23"/>
              </w:rPr>
              <w:t>Thiago José Aguiar</w:t>
            </w:r>
          </w:p>
          <w:p w14:paraId="644BF591" w14:textId="77777777" w:rsidR="00A22177" w:rsidRPr="00AA1A87" w:rsidRDefault="00000000">
            <w:pPr>
              <w:jc w:val="center"/>
              <w:rPr>
                <w:rFonts w:eastAsia="Garamond"/>
                <w:b/>
                <w:smallCaps/>
                <w:color w:val="000000"/>
                <w:sz w:val="23"/>
                <w:szCs w:val="23"/>
              </w:rPr>
            </w:pPr>
            <w:r w:rsidRPr="00AA1A87">
              <w:rPr>
                <w:rFonts w:eastAsia="Garamond"/>
                <w:b/>
                <w:smallCaps/>
                <w:color w:val="000000"/>
                <w:sz w:val="23"/>
                <w:szCs w:val="23"/>
              </w:rPr>
              <w:t>OAB/RJ 213.181</w:t>
            </w:r>
          </w:p>
        </w:tc>
        <w:tc>
          <w:tcPr>
            <w:tcW w:w="3210" w:type="dxa"/>
          </w:tcPr>
          <w:p w14:paraId="5118A254" w14:textId="77777777" w:rsidR="00A22177" w:rsidRPr="00AA1A87" w:rsidRDefault="00000000">
            <w:pPr>
              <w:jc w:val="center"/>
              <w:rPr>
                <w:rFonts w:eastAsia="Garamond"/>
                <w:b/>
                <w:smallCaps/>
                <w:color w:val="000000"/>
                <w:sz w:val="23"/>
                <w:szCs w:val="23"/>
              </w:rPr>
            </w:pPr>
            <w:r w:rsidRPr="00AA1A87">
              <w:rPr>
                <w:rFonts w:eastAsia="Garamond"/>
                <w:b/>
                <w:smallCaps/>
                <w:color w:val="000000"/>
                <w:sz w:val="23"/>
                <w:szCs w:val="23"/>
              </w:rPr>
              <w:t>Lucio Masullo</w:t>
            </w:r>
          </w:p>
          <w:p w14:paraId="39184483" w14:textId="77777777" w:rsidR="00A22177" w:rsidRPr="00AA1A87" w:rsidRDefault="00000000">
            <w:pPr>
              <w:jc w:val="center"/>
              <w:rPr>
                <w:rFonts w:eastAsia="Garamond"/>
                <w:sz w:val="23"/>
                <w:szCs w:val="23"/>
              </w:rPr>
            </w:pPr>
            <w:r w:rsidRPr="00AA1A87">
              <w:rPr>
                <w:rFonts w:eastAsia="Garamond"/>
                <w:b/>
                <w:smallCaps/>
                <w:color w:val="000000"/>
                <w:sz w:val="23"/>
                <w:szCs w:val="23"/>
              </w:rPr>
              <w:t>OAB/RJ 82.064</w:t>
            </w:r>
          </w:p>
        </w:tc>
      </w:tr>
    </w:tbl>
    <w:p w14:paraId="403CD9DA" w14:textId="77777777" w:rsidR="00A22177" w:rsidRPr="00AA1A87" w:rsidRDefault="00A22177">
      <w:pPr>
        <w:spacing w:line="360" w:lineRule="auto"/>
        <w:rPr>
          <w:rFonts w:eastAsia="Garamond"/>
          <w:sz w:val="23"/>
          <w:szCs w:val="23"/>
        </w:rPr>
      </w:pPr>
    </w:p>
    <w:sectPr w:rsidR="00A22177" w:rsidRPr="00AA1A87">
      <w:headerReference w:type="default" r:id="rId7"/>
      <w:footerReference w:type="default" r:id="rId8"/>
      <w:pgSz w:w="11906" w:h="16838"/>
      <w:pgMar w:top="2127" w:right="1134" w:bottom="720"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CA0C2" w14:textId="77777777" w:rsidR="002D5ADC" w:rsidRDefault="002D5ADC">
      <w:r>
        <w:separator/>
      </w:r>
    </w:p>
  </w:endnote>
  <w:endnote w:type="continuationSeparator" w:id="0">
    <w:p w14:paraId="1650E123" w14:textId="77777777" w:rsidR="002D5ADC" w:rsidRDefault="002D5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B97AA" w14:textId="77777777" w:rsidR="00A22177" w:rsidRDefault="00000000">
    <w:pPr>
      <w:pBdr>
        <w:top w:val="nil"/>
        <w:left w:val="nil"/>
        <w:bottom w:val="nil"/>
        <w:right w:val="nil"/>
        <w:between w:val="nil"/>
      </w:pBdr>
      <w:tabs>
        <w:tab w:val="center" w:pos="4252"/>
        <w:tab w:val="right" w:pos="8504"/>
      </w:tabs>
      <w:rPr>
        <w:color w:val="000000"/>
        <w:sz w:val="22"/>
        <w:szCs w:val="22"/>
      </w:rPr>
    </w:pPr>
    <w:r>
      <w:rPr>
        <w:noProof/>
      </w:rPr>
      <w:drawing>
        <wp:anchor distT="0" distB="0" distL="0" distR="0" simplePos="0" relativeHeight="251660288" behindDoc="1" locked="0" layoutInCell="1" hidden="0" allowOverlap="1" wp14:anchorId="67B967F0" wp14:editId="4ED54DDC">
          <wp:simplePos x="0" y="0"/>
          <wp:positionH relativeFrom="column">
            <wp:posOffset>-616579</wp:posOffset>
          </wp:positionH>
          <wp:positionV relativeFrom="paragraph">
            <wp:posOffset>24130</wp:posOffset>
          </wp:positionV>
          <wp:extent cx="7343775" cy="233045"/>
          <wp:effectExtent l="0" t="0" r="0" b="0"/>
          <wp:wrapNone/>
          <wp:docPr id="20888749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57261CB0" w14:textId="77777777" w:rsidR="00A22177" w:rsidRDefault="00000000">
    <w:pPr>
      <w:pBdr>
        <w:top w:val="nil"/>
        <w:left w:val="nil"/>
        <w:bottom w:val="nil"/>
        <w:right w:val="nil"/>
        <w:between w:val="nil"/>
      </w:pBdr>
      <w:tabs>
        <w:tab w:val="center" w:pos="4252"/>
        <w:tab w:val="right" w:pos="8504"/>
      </w:tabs>
      <w:jc w:val="center"/>
      <w:rPr>
        <w:color w:val="000000"/>
        <w:sz w:val="22"/>
        <w:szCs w:val="22"/>
      </w:rPr>
    </w:pPr>
    <w:r>
      <w:rPr>
        <w:noProof/>
      </w:rPr>
      <w:drawing>
        <wp:anchor distT="0" distB="0" distL="0" distR="0" simplePos="0" relativeHeight="251661312" behindDoc="1" locked="0" layoutInCell="1" hidden="0" allowOverlap="1" wp14:anchorId="6818D6E6" wp14:editId="1BF91790">
          <wp:simplePos x="0" y="0"/>
          <wp:positionH relativeFrom="column">
            <wp:posOffset>0</wp:posOffset>
          </wp:positionH>
          <wp:positionV relativeFrom="paragraph">
            <wp:posOffset>46990</wp:posOffset>
          </wp:positionV>
          <wp:extent cx="1228090" cy="495300"/>
          <wp:effectExtent l="0" t="0" r="0" b="0"/>
          <wp:wrapNone/>
          <wp:docPr id="208887497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3E09B944" wp14:editId="16154A43">
          <wp:simplePos x="0" y="0"/>
          <wp:positionH relativeFrom="column">
            <wp:posOffset>4653280</wp:posOffset>
          </wp:positionH>
          <wp:positionV relativeFrom="paragraph">
            <wp:posOffset>46990</wp:posOffset>
          </wp:positionV>
          <wp:extent cx="1459865" cy="590550"/>
          <wp:effectExtent l="0" t="0" r="0" b="0"/>
          <wp:wrapNone/>
          <wp:docPr id="20888749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6C277429" w14:textId="77777777" w:rsidR="00A22177" w:rsidRDefault="00A22177">
    <w:pPr>
      <w:pBdr>
        <w:top w:val="nil"/>
        <w:left w:val="nil"/>
        <w:bottom w:val="nil"/>
        <w:right w:val="nil"/>
        <w:between w:val="nil"/>
      </w:pBdr>
      <w:tabs>
        <w:tab w:val="center" w:pos="4252"/>
        <w:tab w:val="right" w:pos="8504"/>
      </w:tabs>
      <w:jc w:val="center"/>
      <w:rPr>
        <w:color w:val="000000"/>
        <w:sz w:val="22"/>
        <w:szCs w:val="22"/>
      </w:rPr>
    </w:pPr>
  </w:p>
  <w:p w14:paraId="40A03C22" w14:textId="77777777" w:rsidR="00A22177" w:rsidRDefault="00000000">
    <w:pPr>
      <w:pBdr>
        <w:top w:val="nil"/>
        <w:left w:val="nil"/>
        <w:bottom w:val="nil"/>
        <w:right w:val="nil"/>
        <w:between w:val="nil"/>
      </w:pBdr>
      <w:tabs>
        <w:tab w:val="center" w:pos="4252"/>
        <w:tab w:val="right" w:pos="8504"/>
      </w:tabs>
      <w:jc w:val="center"/>
      <w:rPr>
        <w:color w:val="000000"/>
        <w:sz w:val="22"/>
        <w:szCs w:val="22"/>
      </w:rPr>
    </w:pPr>
    <w:r>
      <w:rPr>
        <w:color w:val="000000"/>
        <w:sz w:val="22"/>
        <w:szCs w:val="22"/>
      </w:rPr>
      <w:t xml:space="preserve">Página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91368C">
      <w:rPr>
        <w:b/>
        <w:noProof/>
        <w:color w:val="000000"/>
        <w:sz w:val="22"/>
        <w:szCs w:val="22"/>
      </w:rPr>
      <w:t>1</w:t>
    </w:r>
    <w:r>
      <w:rPr>
        <w:b/>
        <w:color w:val="000000"/>
        <w:sz w:val="22"/>
        <w:szCs w:val="22"/>
      </w:rPr>
      <w:fldChar w:fldCharType="end"/>
    </w:r>
    <w:r>
      <w:rPr>
        <w:color w:val="000000"/>
        <w:sz w:val="22"/>
        <w:szCs w:val="22"/>
      </w:rPr>
      <w:t xml:space="preserve"> de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91368C">
      <w:rPr>
        <w:b/>
        <w:noProof/>
        <w:color w:val="000000"/>
        <w:sz w:val="22"/>
        <w:szCs w:val="22"/>
      </w:rPr>
      <w:t>2</w:t>
    </w:r>
    <w:r>
      <w:rPr>
        <w:b/>
        <w:color w:val="000000"/>
        <w:sz w:val="22"/>
        <w:szCs w:val="22"/>
      </w:rPr>
      <w:fldChar w:fldCharType="end"/>
    </w:r>
    <w:r>
      <w:rPr>
        <w:noProof/>
      </w:rPr>
      <w:drawing>
        <wp:anchor distT="0" distB="0" distL="114300" distR="114300" simplePos="0" relativeHeight="251663360" behindDoc="0" locked="0" layoutInCell="1" hidden="0" allowOverlap="1" wp14:anchorId="49CE96AD" wp14:editId="15773661">
          <wp:simplePos x="0" y="0"/>
          <wp:positionH relativeFrom="column">
            <wp:posOffset>7</wp:posOffset>
          </wp:positionH>
          <wp:positionV relativeFrom="paragraph">
            <wp:posOffset>58420</wp:posOffset>
          </wp:positionV>
          <wp:extent cx="991235" cy="238125"/>
          <wp:effectExtent l="0" t="0" r="0" b="0"/>
          <wp:wrapNone/>
          <wp:docPr id="20888749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3CC8C" w14:textId="77777777" w:rsidR="002D5ADC" w:rsidRDefault="002D5ADC">
      <w:r>
        <w:separator/>
      </w:r>
    </w:p>
  </w:footnote>
  <w:footnote w:type="continuationSeparator" w:id="0">
    <w:p w14:paraId="514FC563" w14:textId="77777777" w:rsidR="002D5ADC" w:rsidRDefault="002D5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E6AE" w14:textId="77777777" w:rsidR="00A22177" w:rsidRDefault="00000000">
    <w:pPr>
      <w:pBdr>
        <w:top w:val="nil"/>
        <w:left w:val="nil"/>
        <w:bottom w:val="nil"/>
        <w:right w:val="nil"/>
        <w:between w:val="nil"/>
      </w:pBdr>
      <w:tabs>
        <w:tab w:val="center" w:pos="4252"/>
        <w:tab w:val="right" w:pos="8504"/>
      </w:tabs>
      <w:ind w:firstLine="142"/>
      <w:rPr>
        <w:color w:val="000000"/>
        <w:sz w:val="22"/>
        <w:szCs w:val="22"/>
      </w:rPr>
    </w:pPr>
    <w:r>
      <w:rPr>
        <w:noProof/>
      </w:rPr>
      <w:drawing>
        <wp:anchor distT="0" distB="0" distL="0" distR="0" simplePos="0" relativeHeight="251658240" behindDoc="1" locked="0" layoutInCell="1" hidden="0" allowOverlap="1" wp14:anchorId="5FFFD1CA" wp14:editId="742020AD">
          <wp:simplePos x="0" y="0"/>
          <wp:positionH relativeFrom="column">
            <wp:posOffset>0</wp:posOffset>
          </wp:positionH>
          <wp:positionV relativeFrom="paragraph">
            <wp:posOffset>-325749</wp:posOffset>
          </wp:positionV>
          <wp:extent cx="1219200" cy="1093867"/>
          <wp:effectExtent l="0" t="0" r="0" b="0"/>
          <wp:wrapNone/>
          <wp:docPr id="20888749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219200" cy="109386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F927514" wp14:editId="00A226DC">
          <wp:simplePos x="0" y="0"/>
          <wp:positionH relativeFrom="column">
            <wp:posOffset>4843780</wp:posOffset>
          </wp:positionH>
          <wp:positionV relativeFrom="paragraph">
            <wp:posOffset>-343529</wp:posOffset>
          </wp:positionV>
          <wp:extent cx="1275715" cy="1046480"/>
          <wp:effectExtent l="0" t="0" r="0" b="0"/>
          <wp:wrapSquare wrapText="bothSides" distT="0" distB="0" distL="114300" distR="114300"/>
          <wp:docPr id="20888749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275715" cy="104648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177"/>
    <w:rsid w:val="0002643E"/>
    <w:rsid w:val="00062A78"/>
    <w:rsid w:val="001E22B8"/>
    <w:rsid w:val="00227E8B"/>
    <w:rsid w:val="002D5ADC"/>
    <w:rsid w:val="0043124E"/>
    <w:rsid w:val="00762A6E"/>
    <w:rsid w:val="00794743"/>
    <w:rsid w:val="0083052C"/>
    <w:rsid w:val="00906E56"/>
    <w:rsid w:val="0091368C"/>
    <w:rsid w:val="00A22177"/>
    <w:rsid w:val="00AA1A87"/>
    <w:rsid w:val="00AB2786"/>
    <w:rsid w:val="00BC6C9C"/>
    <w:rsid w:val="00F81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E0D0"/>
  <w15:docId w15:val="{8AE0B592-98A6-49FB-8E21-3FEE192D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7D"/>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table" w:customStyle="1" w:styleId="TableNormal1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Header">
    <w:name w:val="header"/>
    <w:basedOn w:val="Normal"/>
    <w:link w:val="HeaderChar"/>
    <w:uiPriority w:val="99"/>
    <w:unhideWhenUsed/>
    <w:rsid w:val="0074047E"/>
    <w:pPr>
      <w:tabs>
        <w:tab w:val="center" w:pos="4252"/>
        <w:tab w:val="right" w:pos="8504"/>
      </w:tabs>
    </w:pPr>
    <w:rPr>
      <w:rFonts w:eastAsiaTheme="minorHAnsi"/>
      <w:sz w:val="22"/>
      <w:szCs w:val="22"/>
    </w:r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pPr>
    <w:rPr>
      <w:rFonts w:eastAsiaTheme="minorHAnsi"/>
      <w:sz w:val="22"/>
      <w:szCs w:val="22"/>
    </w:rPr>
  </w:style>
  <w:style w:type="character" w:customStyle="1" w:styleId="FooterChar">
    <w:name w:val="Footer Char"/>
    <w:basedOn w:val="DefaultParagraphFont"/>
    <w:link w:val="Footer"/>
    <w:uiPriority w:val="99"/>
    <w:rsid w:val="0074047E"/>
  </w:style>
  <w:style w:type="paragraph" w:customStyle="1" w:styleId="Corpo">
    <w:name w:val="Corpo"/>
    <w:rsid w:val="00E612A3"/>
    <w:pPr>
      <w:pBdr>
        <w:top w:val="nil"/>
        <w:left w:val="nil"/>
        <w:bottom w:val="nil"/>
        <w:right w:val="nil"/>
        <w:between w:val="nil"/>
        <w:bar w:val="nil"/>
      </w:pBdr>
    </w:pPr>
    <w:rPr>
      <w:rFonts w:ascii="Cambria" w:eastAsia="Cambria" w:hAnsi="Cambria" w:cs="Cambria"/>
      <w:color w:val="000000"/>
      <w:u w:color="000000"/>
      <w:bdr w:val="nil"/>
      <w:lang w:val="es-ES_tradnl"/>
    </w:rPr>
  </w:style>
  <w:style w:type="paragraph" w:customStyle="1" w:styleId="first-p">
    <w:name w:val="first-p"/>
    <w:basedOn w:val="Normal"/>
    <w:qFormat/>
    <w:rsid w:val="00E422DE"/>
    <w:pPr>
      <w:spacing w:beforeAutospacing="1" w:afterAutospacing="1"/>
    </w:pPr>
    <w:rPr>
      <w:rFonts w:ascii="Times New Roman" w:eastAsia="Times New Roman" w:hAnsi="Times New Roman" w:cs="Times New Roman"/>
      <w:color w:val="00000A"/>
    </w:rPr>
  </w:style>
  <w:style w:type="paragraph" w:styleId="BodyTextIndent">
    <w:name w:val="Body Text Indent"/>
    <w:basedOn w:val="Normal"/>
    <w:link w:val="BodyTextIndentChar"/>
    <w:rsid w:val="00E422DE"/>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422DE"/>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E422DE"/>
    <w:rPr>
      <w:color w:val="0563C1" w:themeColor="hyperlink"/>
      <w:u w:val="single"/>
    </w:rPr>
  </w:style>
  <w:style w:type="paragraph" w:styleId="ListParagraph">
    <w:name w:val="List Paragraph"/>
    <w:basedOn w:val="Normal"/>
    <w:uiPriority w:val="34"/>
    <w:qFormat/>
    <w:rsid w:val="00E422DE"/>
    <w:pPr>
      <w:ind w:left="720"/>
      <w:contextualSpacing/>
    </w:pPr>
  </w:style>
  <w:style w:type="paragraph" w:styleId="IntenseQuote">
    <w:name w:val="Intense Quote"/>
    <w:basedOn w:val="Normal"/>
    <w:next w:val="Normal"/>
    <w:link w:val="IntenseQuoteChar"/>
    <w:uiPriority w:val="30"/>
    <w:qFormat/>
    <w:rsid w:val="00E422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2DE"/>
    <w:rPr>
      <w:rFonts w:eastAsiaTheme="minorEastAsia"/>
      <w:i/>
      <w:iCs/>
      <w:color w:val="5B9BD5" w:themeColor="accent1"/>
      <w:sz w:val="24"/>
      <w:szCs w:val="24"/>
    </w:rPr>
  </w:style>
  <w:style w:type="character" w:styleId="PlaceholderText">
    <w:name w:val="Placeholder Text"/>
    <w:basedOn w:val="DefaultParagraphFont"/>
    <w:uiPriority w:val="99"/>
    <w:semiHidden/>
    <w:rsid w:val="00E422DE"/>
    <w:rPr>
      <w:color w:val="808080"/>
    </w:rPr>
  </w:style>
  <w:style w:type="table" w:styleId="TableGrid">
    <w:name w:val="Table Grid"/>
    <w:basedOn w:val="TableNormal"/>
    <w:uiPriority w:val="39"/>
    <w:rsid w:val="001C5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5F38F1"/>
    <w:rPr>
      <w:b/>
      <w:bCs/>
      <w:smallCaps/>
      <w:color w:val="5B9BD5" w:themeColor="accent1"/>
      <w:spacing w:val="5"/>
    </w:rPr>
  </w:style>
  <w:style w:type="character" w:styleId="FollowedHyperlink">
    <w:name w:val="FollowedHyperlink"/>
    <w:basedOn w:val="DefaultParagraphFont"/>
    <w:uiPriority w:val="99"/>
    <w:semiHidden/>
    <w:unhideWhenUsed/>
    <w:rsid w:val="00C00619"/>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70" w:type="dxa"/>
        <w:right w:w="70"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tblPr>
      <w:tblStyleRowBandSize w:val="1"/>
      <w:tblStyleColBandSize w:val="1"/>
      <w:tblCellMar>
        <w:left w:w="70" w:type="dxa"/>
        <w:right w:w="70" w:type="dxa"/>
      </w:tblCellMar>
    </w:tblPr>
  </w:style>
  <w:style w:type="table" w:customStyle="1" w:styleId="a2">
    <w:basedOn w:val="TableNormal2"/>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CB1D87"/>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B5C88"/>
    <w:rPr>
      <w:color w:val="605E5C"/>
      <w:shd w:val="clear" w:color="auto" w:fill="E1DFDD"/>
    </w:r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left w:w="108" w:type="dxa"/>
        <w:right w:w="108" w:type="dxa"/>
      </w:tblCellMar>
    </w:tblPr>
  </w:style>
  <w:style w:type="table" w:customStyle="1" w:styleId="a9">
    <w:basedOn w:val="TableNormal11"/>
    <w:tblPr>
      <w:tblStyleRowBandSize w:val="1"/>
      <w:tblStyleColBandSize w:val="1"/>
      <w:tblCellMar>
        <w:top w:w="15" w:type="dxa"/>
        <w:left w:w="108" w:type="dxa"/>
        <w:bottom w:w="15" w:type="dxa"/>
        <w:right w:w="108" w:type="dxa"/>
      </w:tblCellMar>
    </w:tblPr>
  </w:style>
  <w:style w:type="table" w:customStyle="1" w:styleId="aa">
    <w:basedOn w:val="TableNormal11"/>
    <w:tblPr>
      <w:tblStyleRowBandSize w:val="1"/>
      <w:tblStyleColBandSize w:val="1"/>
      <w:tblCellMar>
        <w:top w:w="15" w:type="dxa"/>
        <w:left w:w="15" w:type="dxa"/>
        <w:bottom w:w="15" w:type="dxa"/>
        <w:right w:w="15" w:type="dxa"/>
      </w:tblCellMar>
    </w:tblPr>
  </w:style>
  <w:style w:type="table" w:customStyle="1" w:styleId="ab">
    <w:basedOn w:val="TableNormal11"/>
    <w:tblPr>
      <w:tblStyleRowBandSize w:val="1"/>
      <w:tblStyleColBandSize w:val="1"/>
      <w:tblCellMar>
        <w:top w:w="15" w:type="dxa"/>
        <w:left w:w="108" w:type="dxa"/>
        <w:bottom w:w="15" w:type="dxa"/>
        <w:right w:w="108" w:type="dxa"/>
      </w:tblCellMar>
    </w:tblPr>
  </w:style>
  <w:style w:type="table" w:customStyle="1" w:styleId="ac">
    <w:basedOn w:val="TableNormal11"/>
    <w:tblPr>
      <w:tblStyleRowBandSize w:val="1"/>
      <w:tblStyleColBandSize w:val="1"/>
      <w:tblCellMar>
        <w:top w:w="15" w:type="dxa"/>
        <w:left w:w="15" w:type="dxa"/>
        <w:bottom w:w="15" w:type="dxa"/>
        <w:right w:w="15" w:type="dxa"/>
      </w:tblCellMar>
    </w:tblPr>
  </w:style>
  <w:style w:type="table" w:customStyle="1" w:styleId="ad">
    <w:basedOn w:val="TableNormal11"/>
    <w:tblPr>
      <w:tblStyleRowBandSize w:val="1"/>
      <w:tblStyleColBandSize w:val="1"/>
      <w:tblCellMar>
        <w:top w:w="15" w:type="dxa"/>
        <w:left w:w="15" w:type="dxa"/>
        <w:bottom w:w="15" w:type="dxa"/>
        <w:right w:w="15" w:type="dxa"/>
      </w:tblCellMar>
    </w:tblPr>
  </w:style>
  <w:style w:type="table" w:customStyle="1" w:styleId="ae">
    <w:basedOn w:val="TableNormal11"/>
    <w:tblPr>
      <w:tblStyleRowBandSize w:val="1"/>
      <w:tblStyleColBandSize w:val="1"/>
      <w:tblCellMar>
        <w:top w:w="15" w:type="dxa"/>
        <w:left w:w="15" w:type="dxa"/>
        <w:bottom w:w="15" w:type="dxa"/>
        <w:right w:w="15" w:type="dxa"/>
      </w:tblCellMar>
    </w:tblPr>
  </w:style>
  <w:style w:type="table" w:customStyle="1" w:styleId="af">
    <w:basedOn w:val="TableNormal11"/>
    <w:tblPr>
      <w:tblStyleRowBandSize w:val="1"/>
      <w:tblStyleColBandSize w:val="1"/>
      <w:tblCellMar>
        <w:top w:w="15" w:type="dxa"/>
        <w:left w:w="108" w:type="dxa"/>
        <w:bottom w:w="15" w:type="dxa"/>
        <w:right w:w="108" w:type="dxa"/>
      </w:tblCellMar>
    </w:tblPr>
  </w:style>
  <w:style w:type="table" w:customStyle="1" w:styleId="af0">
    <w:basedOn w:val="TableNormal"/>
    <w:tblPr>
      <w:tblStyleRowBandSize w:val="1"/>
      <w:tblStyleColBandSize w:val="1"/>
      <w:tblCellMar>
        <w:top w:w="15" w:type="dxa"/>
        <w:bottom w:w="15" w:type="dxa"/>
      </w:tblCellMar>
    </w:tblPr>
  </w:style>
  <w:style w:type="table" w:customStyle="1" w:styleId="af1">
    <w:basedOn w:val="TableNormal"/>
    <w:tblPr>
      <w:tblStyleRowBandSize w:val="1"/>
      <w:tblStyleColBandSize w:val="1"/>
      <w:tblCellMar>
        <w:top w:w="15" w:type="dxa"/>
        <w:bottom w:w="15" w:type="dxa"/>
      </w:tblCellMar>
    </w:tblPr>
  </w:style>
  <w:style w:type="table" w:customStyle="1" w:styleId="af2">
    <w:basedOn w:val="TableNormal"/>
    <w:tblPr>
      <w:tblStyleRowBandSize w:val="1"/>
      <w:tblStyleColBandSize w:val="1"/>
      <w:tblCellMar>
        <w:top w:w="15" w:type="dxa"/>
        <w:bottom w:w="15" w:type="dxa"/>
      </w:tblCellMar>
    </w:tblPr>
  </w:style>
  <w:style w:type="table" w:customStyle="1" w:styleId="af3">
    <w:basedOn w:val="TableNormal"/>
    <w:tblPr>
      <w:tblStyleRowBandSize w:val="1"/>
      <w:tblStyleColBandSize w:val="1"/>
      <w:tblCellMar>
        <w:top w:w="15" w:type="dxa"/>
        <w:bottom w:w="15" w:type="dxa"/>
      </w:tblCellMar>
    </w:tblPr>
  </w:style>
  <w:style w:type="table" w:customStyle="1" w:styleId="af4">
    <w:basedOn w:val="TableNormal"/>
    <w:tblPr>
      <w:tblStyleRowBandSize w:val="1"/>
      <w:tblStyleColBandSize w:val="1"/>
      <w:tblCellMar>
        <w:top w:w="15" w:type="dxa"/>
        <w:bottom w:w="15" w:type="dxa"/>
      </w:tblCellMar>
    </w:tblPr>
  </w:style>
  <w:style w:type="table" w:customStyle="1" w:styleId="af5">
    <w:basedOn w:val="TableNormal"/>
    <w:tblPr>
      <w:tblStyleRowBandSize w:val="1"/>
      <w:tblStyleColBandSize w:val="1"/>
      <w:tblCellMar>
        <w:top w:w="15" w:type="dxa"/>
        <w:bottom w:w="15" w:type="dxa"/>
      </w:tblCellMar>
    </w:tblPr>
  </w:style>
  <w:style w:type="table" w:customStyle="1" w:styleId="af6">
    <w:basedOn w:val="TableNormal"/>
    <w:tblPr>
      <w:tblStyleRowBandSize w:val="1"/>
      <w:tblStyleColBandSize w:val="1"/>
      <w:tblCellMar>
        <w:top w:w="15" w:type="dxa"/>
        <w:bottom w:w="15" w:type="dxa"/>
      </w:tblCellMar>
    </w:tblPr>
  </w:style>
  <w:style w:type="table" w:customStyle="1" w:styleId="af7">
    <w:basedOn w:val="TableNormal"/>
    <w:tblPr>
      <w:tblStyleRowBandSize w:val="1"/>
      <w:tblStyleColBandSize w:val="1"/>
      <w:tblCellMar>
        <w:top w:w="15" w:type="dxa"/>
        <w:bottom w:w="15" w:type="dxa"/>
      </w:tblCellMar>
    </w:tblPr>
  </w:style>
  <w:style w:type="table" w:customStyle="1" w:styleId="af8">
    <w:basedOn w:val="TableNormal"/>
    <w:tblPr>
      <w:tblStyleRowBandSize w:val="1"/>
      <w:tblStyleColBandSize w:val="1"/>
      <w:tblCellMar>
        <w:top w:w="15" w:type="dxa"/>
        <w:bottom w:w="15" w:type="dxa"/>
      </w:tblCellMar>
    </w:tblPr>
  </w:style>
  <w:style w:type="table" w:customStyle="1" w:styleId="af9">
    <w:basedOn w:val="TableNormal"/>
    <w:tblPr>
      <w:tblStyleRowBandSize w:val="1"/>
      <w:tblStyleColBandSize w:val="1"/>
      <w:tblCellMar>
        <w:top w:w="15" w:type="dxa"/>
        <w:bottom w:w="15" w:type="dxa"/>
      </w:tblCellMar>
    </w:tblPr>
  </w:style>
  <w:style w:type="table" w:customStyle="1" w:styleId="afa">
    <w:basedOn w:val="TableNormal"/>
    <w:tblPr>
      <w:tblStyleRowBandSize w:val="1"/>
      <w:tblStyleColBandSize w:val="1"/>
      <w:tblCellMar>
        <w:top w:w="15" w:type="dxa"/>
        <w:bottom w:w="15" w:type="dxa"/>
      </w:tblCellMar>
    </w:tblPr>
  </w:style>
  <w:style w:type="table" w:customStyle="1" w:styleId="afb">
    <w:basedOn w:val="TableNormal"/>
    <w:tblPr>
      <w:tblStyleRowBandSize w:val="1"/>
      <w:tblStyleColBandSize w:val="1"/>
      <w:tblCellMar>
        <w:top w:w="15" w:type="dxa"/>
        <w:bottom w:w="15" w:type="dxa"/>
      </w:tblCellMar>
    </w:tblPr>
  </w:style>
  <w:style w:type="table" w:customStyle="1" w:styleId="afc">
    <w:basedOn w:val="TableNormal"/>
    <w:tblPr>
      <w:tblStyleRowBandSize w:val="1"/>
      <w:tblStyleColBandSize w:val="1"/>
      <w:tblCellMar>
        <w:top w:w="15" w:type="dxa"/>
        <w:bottom w:w="15" w:type="dxa"/>
      </w:tblCellMar>
    </w:tblPr>
  </w:style>
  <w:style w:type="table" w:customStyle="1" w:styleId="afd">
    <w:basedOn w:val="TableNormal"/>
    <w:tblPr>
      <w:tblStyleRowBandSize w:val="1"/>
      <w:tblStyleColBandSize w:val="1"/>
      <w:tblCellMar>
        <w:top w:w="15" w:type="dxa"/>
        <w:bottom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D9iXFvYjYEB2CEBixjIb6hkRYw==">CgMxLjA4AHIhMWExZ3ItN3lkTXJTOTFrNXV2REhGSy1vaEZfY3hrQkI2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7</cp:revision>
  <cp:lastPrinted>2023-10-04T10:52:00Z</cp:lastPrinted>
  <dcterms:created xsi:type="dcterms:W3CDTF">2023-10-04T10:53:00Z</dcterms:created>
  <dcterms:modified xsi:type="dcterms:W3CDTF">2023-11-15T11:24:00Z</dcterms:modified>
</cp:coreProperties>
</file>