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30BBD" w14:textId="77777777" w:rsidR="00C13838" w:rsidRPr="000407E8" w:rsidRDefault="00C13838" w:rsidP="00C13838">
      <w:pPr>
        <w:spacing w:after="0" w:line="360" w:lineRule="auto"/>
        <w:jc w:val="both"/>
        <w:rPr>
          <w:rFonts w:ascii="Garamond" w:eastAsia="Garamond" w:hAnsi="Garamond" w:cs="Garamond"/>
          <w:b/>
          <w:sz w:val="28"/>
          <w:szCs w:val="28"/>
        </w:rPr>
      </w:pPr>
      <w:bookmarkStart w:id="0" w:name="_heading=h.82ji7xqlczlk" w:colFirst="0" w:colLast="0"/>
      <w:bookmarkEnd w:id="0"/>
      <w:r w:rsidRPr="000407E8">
        <w:rPr>
          <w:rFonts w:ascii="Garamond" w:eastAsia="Garamond" w:hAnsi="Garamond" w:cs="Garamond"/>
          <w:b/>
          <w:sz w:val="28"/>
          <w:szCs w:val="28"/>
        </w:rPr>
        <w:t xml:space="preserve">Exmo. Sr. Dr. Juiz de direito da [VARA] da Comarca de </w:t>
      </w:r>
      <w:proofErr w:type="spellStart"/>
      <w:r w:rsidRPr="000407E8">
        <w:rPr>
          <w:rFonts w:ascii="Garamond" w:eastAsia="Garamond" w:hAnsi="Garamond" w:cs="Garamond"/>
          <w:b/>
          <w:sz w:val="28"/>
          <w:szCs w:val="28"/>
        </w:rPr>
        <w:t>xxxxxxx</w:t>
      </w:r>
      <w:proofErr w:type="spellEnd"/>
      <w:r w:rsidRPr="000407E8">
        <w:rPr>
          <w:rFonts w:ascii="Garamond" w:eastAsia="Garamond" w:hAnsi="Garamond" w:cs="Garamond"/>
          <w:b/>
          <w:sz w:val="28"/>
          <w:szCs w:val="28"/>
        </w:rPr>
        <w:t xml:space="preserve"> - Estado do Rio de Janeiro</w:t>
      </w:r>
    </w:p>
    <w:p w14:paraId="0D66128D" w14:textId="77777777" w:rsidR="00C13838" w:rsidRDefault="00C13838" w:rsidP="00C13838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FE26A3D" w14:textId="77777777" w:rsidR="00C13838" w:rsidRDefault="00C13838" w:rsidP="00C13838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4C1276C8" w14:textId="77777777" w:rsidR="00C13838" w:rsidRDefault="00C13838" w:rsidP="00C13838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7B63C193" w14:textId="77777777" w:rsidR="00C13838" w:rsidRDefault="00C13838" w:rsidP="00C13838">
      <w:pPr>
        <w:spacing w:after="0"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3D062C53" w14:textId="77777777" w:rsidR="00C13838" w:rsidRDefault="00C13838" w:rsidP="00C13838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30DF32D0" w14:textId="77777777" w:rsidR="00C13838" w:rsidRDefault="00C13838" w:rsidP="00C13838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7068E9E1" w14:textId="28C24B1E" w:rsidR="00421B28" w:rsidRDefault="00C13838" w:rsidP="00C13838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</w:rPr>
        <w:t>[NOME]</w:t>
      </w:r>
      <w:r>
        <w:rPr>
          <w:rFonts w:ascii="Garamond" w:eastAsia="Garamond" w:hAnsi="Garamond" w:cs="Garamond"/>
        </w:rPr>
        <w:t xml:space="preserve">, devidamente qualificada </w:t>
      </w:r>
      <w:r w:rsidR="00421B28" w:rsidRPr="00421B28">
        <w:rPr>
          <w:rFonts w:ascii="Garamond" w:eastAsia="Times New Roman" w:hAnsi="Garamond" w:cs="Times New Roman"/>
          <w:color w:val="000000"/>
          <w:sz w:val="24"/>
          <w:szCs w:val="24"/>
        </w:rPr>
        <w:t xml:space="preserve">na Ação de Cumprimento de Sentença que move em face de </w:t>
      </w:r>
      <w:r w:rsidR="00421B28" w:rsidRPr="00421B28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ESTADO DO RIO DE JANEIRO</w:t>
      </w:r>
      <w:r w:rsidR="00421B28" w:rsidRPr="00421B28">
        <w:rPr>
          <w:rFonts w:ascii="Garamond" w:eastAsia="Times New Roman" w:hAnsi="Garamond" w:cs="Times New Roman"/>
          <w:color w:val="000000"/>
          <w:sz w:val="24"/>
          <w:szCs w:val="24"/>
        </w:rPr>
        <w:t>, vem, respeitosamente, por s</w:t>
      </w:r>
      <w:r w:rsid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eus </w:t>
      </w:r>
      <w:r w:rsidR="00421B28" w:rsidRPr="00421B28">
        <w:rPr>
          <w:rFonts w:ascii="Garamond" w:eastAsia="Times New Roman" w:hAnsi="Garamond" w:cs="Times New Roman"/>
          <w:color w:val="000000"/>
          <w:sz w:val="24"/>
          <w:szCs w:val="24"/>
        </w:rPr>
        <w:t>advogad</w:t>
      </w:r>
      <w:r w:rsidR="00121354">
        <w:rPr>
          <w:rFonts w:ascii="Garamond" w:eastAsia="Times New Roman" w:hAnsi="Garamond" w:cs="Times New Roman"/>
          <w:color w:val="000000"/>
          <w:sz w:val="24"/>
          <w:szCs w:val="24"/>
        </w:rPr>
        <w:t>os</w:t>
      </w:r>
      <w:r w:rsidR="00F874C8">
        <w:rPr>
          <w:rFonts w:ascii="Garamond" w:eastAsia="Times New Roman" w:hAnsi="Garamond" w:cs="Times New Roman"/>
          <w:color w:val="000000"/>
          <w:sz w:val="24"/>
          <w:szCs w:val="24"/>
        </w:rPr>
        <w:t>, informar e requerer o que se segue</w:t>
      </w:r>
      <w:r w:rsidR="00421B28" w:rsidRPr="00421B28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</w:p>
    <w:p w14:paraId="30A6C9BD" w14:textId="65186359" w:rsidR="00421B28" w:rsidRDefault="00421B28" w:rsidP="00421B28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770202E4" w14:textId="03BE748C" w:rsidR="00C43117" w:rsidRDefault="00F874C8" w:rsidP="00970D28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>A discussão quanto ao ano que deve ser utilizado como parâmetro para o cálculo está pacificada no Tribunal de Justiça</w:t>
      </w:r>
      <w:r w:rsidR="00970D28" w:rsidRPr="00970D28">
        <w:rPr>
          <w:rFonts w:ascii="Garamond" w:eastAsia="Times New Roman" w:hAnsi="Garamond" w:cs="Times New Roman"/>
          <w:color w:val="000000"/>
          <w:sz w:val="24"/>
          <w:szCs w:val="24"/>
        </w:rPr>
        <w:t>, a sentença</w:t>
      </w:r>
      <w:r w:rsidR="007D64B5">
        <w:rPr>
          <w:rFonts w:ascii="Garamond" w:eastAsia="Times New Roman" w:hAnsi="Garamond" w:cs="Times New Roman"/>
          <w:color w:val="000000"/>
          <w:sz w:val="24"/>
          <w:szCs w:val="24"/>
        </w:rPr>
        <w:t xml:space="preserve"> da ação coletiva</w:t>
      </w:r>
      <w:r w:rsidR="00970D28" w:rsidRPr="00970D2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é </w:t>
      </w:r>
      <w:r w:rsidR="007D64B5">
        <w:rPr>
          <w:rFonts w:ascii="Garamond" w:eastAsia="Times New Roman" w:hAnsi="Garamond" w:cs="Times New Roman"/>
          <w:color w:val="000000"/>
          <w:sz w:val="24"/>
          <w:szCs w:val="24"/>
        </w:rPr>
        <w:t>precisa</w:t>
      </w:r>
      <w:r w:rsidR="00970D28" w:rsidRPr="00970D2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e o Ilmo. Desembargador Ricardo Rodrigues Cardozo é claro nesse sentido ao relatar o Agravo de Instrumento nº 0007370-30.2020.8.19.0000, </w:t>
      </w:r>
      <w:r w:rsidR="00337C02">
        <w:rPr>
          <w:rFonts w:ascii="Garamond" w:eastAsia="Times New Roman" w:hAnsi="Garamond" w:cs="Times New Roman"/>
          <w:color w:val="000000"/>
          <w:sz w:val="24"/>
          <w:szCs w:val="24"/>
        </w:rPr>
        <w:t xml:space="preserve">em que </w:t>
      </w:r>
      <w:r w:rsidR="00970D28" w:rsidRPr="00970D28">
        <w:rPr>
          <w:rFonts w:ascii="Garamond" w:eastAsia="Times New Roman" w:hAnsi="Garamond" w:cs="Times New Roman"/>
          <w:color w:val="000000"/>
          <w:sz w:val="24"/>
          <w:szCs w:val="24"/>
        </w:rPr>
        <w:t>o ano que deve ser aplicado é o ano de 2001:</w:t>
      </w:r>
    </w:p>
    <w:p w14:paraId="7CDCD24A" w14:textId="3E7C56E5" w:rsidR="00970D28" w:rsidRPr="00FE655C" w:rsidRDefault="00970D28" w:rsidP="00970D28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6"/>
          <w:szCs w:val="24"/>
        </w:rPr>
      </w:pPr>
    </w:p>
    <w:p w14:paraId="431E6C54" w14:textId="4AF7C22B" w:rsidR="00970D28" w:rsidRDefault="00970D28" w:rsidP="00970D28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DE0BB1F" wp14:editId="2A275A1A">
            <wp:extent cx="5680821" cy="284952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700" t="27198" r="14164" b="29858"/>
                    <a:stretch/>
                  </pic:blipFill>
                  <pic:spPr bwMode="auto">
                    <a:xfrm>
                      <a:off x="0" y="0"/>
                      <a:ext cx="5713398" cy="2865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44BF2" w14:textId="3C89E1C5" w:rsidR="00FE655C" w:rsidRDefault="00FE655C" w:rsidP="00121354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Questão também analisada pela Décima Quinta Câmara Cível, Câmara, </w:t>
      </w:r>
      <w:proofErr w:type="spellStart"/>
      <w:r w:rsidRPr="00FE655C">
        <w:rPr>
          <w:rFonts w:ascii="Garamond" w:eastAsia="Times New Roman" w:hAnsi="Garamond" w:cs="Times New Roman"/>
          <w:color w:val="000000"/>
          <w:sz w:val="24"/>
          <w:szCs w:val="24"/>
        </w:rPr>
        <w:t>Eg</w:t>
      </w:r>
      <w:proofErr w:type="spellEnd"/>
      <w:r w:rsidRPr="00FE655C">
        <w:rPr>
          <w:rFonts w:ascii="Garamond" w:eastAsia="Times New Roman" w:hAnsi="Garamond" w:cs="Times New Roman"/>
          <w:color w:val="000000"/>
          <w:sz w:val="24"/>
          <w:szCs w:val="24"/>
        </w:rPr>
        <w:t xml:space="preserve"> Tribunal de Justiça já se manifestou pela utilização dos parâmetros do ano anterior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, </w:t>
      </w:r>
      <w:r>
        <w:rPr>
          <w:rFonts w:ascii="Garamond" w:eastAsia="Times New Roman" w:hAnsi="Garamond" w:cs="Times New Roman"/>
          <w:i/>
          <w:color w:val="000000"/>
          <w:sz w:val="24"/>
          <w:szCs w:val="24"/>
        </w:rPr>
        <w:t>in verbis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>:</w:t>
      </w:r>
    </w:p>
    <w:p w14:paraId="4636FD28" w14:textId="251E0A33" w:rsidR="00FE655C" w:rsidRDefault="00FE655C" w:rsidP="00FE655C">
      <w:pPr>
        <w:spacing w:after="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32F690C2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APELAÇÃO CÍVEL. EXECUÇÃO INDIVIDUAL DE SENTENÇA COLETIVA. GRATIFICAÇÃO NOVA ESCOLA. SENTENÇA QUE REJEITOU A ALEGAÇÃO DE PRESCRIÇÃO SUSCITADA PELO ESTADO, FIXOU O VALOR DEVIDO E DETERMINOU A EXPEDIÇÃO DE RPV. RECURSO DO RÉU.</w:t>
      </w:r>
    </w:p>
    <w:p w14:paraId="381C3473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- Considerando que a parte exequente formulou a sua pretensão executória com arrimo na sentença proferida na ação civil pública nº 0138093-28.2006.8.19.0001 (servidores da ativa), cumpre reconhecer a competência desta C. 15ª Câmara Cível para o julgamento do presente recurso.</w:t>
      </w:r>
    </w:p>
    <w:p w14:paraId="2D14EEAE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- A jurisprudência do </w:t>
      </w:r>
      <w:proofErr w:type="spellStart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Eg</w:t>
      </w:r>
      <w:proofErr w:type="spellEnd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. Supremo Tribunal Federal se consolidou no sentido de que os sindicatos, no ajuizamento de ações coletivas, figuram como legitimados extraordinários, defendendo, em nome próprio, direito alheio, e de determinada categoria (</w:t>
      </w:r>
      <w:r w:rsidRPr="00FE655C">
        <w:rPr>
          <w:rFonts w:ascii="Garamond" w:eastAsia="Times New Roman" w:hAnsi="Garamond" w:cs="Times New Roman"/>
          <w:color w:val="000000"/>
          <w:sz w:val="20"/>
          <w:szCs w:val="24"/>
          <w:u w:val="single"/>
        </w:rPr>
        <w:t>independente de lista de filiados</w:t>
      </w: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).</w:t>
      </w:r>
    </w:p>
    <w:p w14:paraId="171546F4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- A Corte Constitucional também já se posicionou no sentido de que a mencionada legitimidade extraordinária é ampla, alcançando, também, a fase de execução.</w:t>
      </w:r>
    </w:p>
    <w:p w14:paraId="264FCBE5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lastRenderedPageBreak/>
        <w:t>- De acordo com o que restou decidido pelo C.STJ ao apreciar o Tema 877, "O prazo prescricional para a execução individual é contado do trânsito em julgado da sentença coletiva, sendo desnecessária a providência de que trata o art. 94 da Lei n. 8.078/90".</w:t>
      </w:r>
    </w:p>
    <w:p w14:paraId="5E4DCE15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- Na hipótese em julgamento, o sindicato, antes de consumada a fluência do prazo quinquenal, iniciou, na ação coletiva, a fase de cumprimento da sentença.</w:t>
      </w:r>
    </w:p>
    <w:p w14:paraId="69E7D6D0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- Com efeito, o ajuizamento da ação de execução coletiva pelo sindicato é causa de interrupção da contagem do prazo prescricional, que recomeça a correr pela metade, a partir do último ato processual da causa interruptiva. Precedentes desta C. Câmara Cível e do C. STJ.</w:t>
      </w:r>
    </w:p>
    <w:p w14:paraId="7E28EBEF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- Nesse contexto, não obstante a fluência do prazo prescricional tenha se iniciado com o trânsito em julgado da sentença proferida na ação coletiva (Tema 877), concluo que, atualmente, se encontra ela interrompida, até que seja praticado o último ato da causa interruptiva.</w:t>
      </w:r>
    </w:p>
    <w:p w14:paraId="02F03221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- Pretensão que não foi alcançada pela prescrição, de acordo com o entendimento do C. STF.</w:t>
      </w:r>
    </w:p>
    <w:p w14:paraId="53BFCAAB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b/>
          <w:color w:val="000000"/>
          <w:sz w:val="20"/>
          <w:szCs w:val="24"/>
          <w:u w:val="single"/>
        </w:rPr>
      </w:pPr>
      <w:r w:rsidRPr="00FE655C">
        <w:rPr>
          <w:rFonts w:ascii="Garamond" w:eastAsia="Times New Roman" w:hAnsi="Garamond" w:cs="Times New Roman"/>
          <w:b/>
          <w:color w:val="000000"/>
          <w:sz w:val="20"/>
          <w:szCs w:val="24"/>
          <w:u w:val="single"/>
        </w:rPr>
        <w:t xml:space="preserve">- Diante da ausência de critério para a avaliação da gratificação devida no ano de 2002, este </w:t>
      </w:r>
      <w:proofErr w:type="spellStart"/>
      <w:r w:rsidRPr="00FE655C">
        <w:rPr>
          <w:rFonts w:ascii="Garamond" w:eastAsia="Times New Roman" w:hAnsi="Garamond" w:cs="Times New Roman"/>
          <w:b/>
          <w:color w:val="000000"/>
          <w:sz w:val="20"/>
          <w:szCs w:val="24"/>
          <w:u w:val="single"/>
        </w:rPr>
        <w:t>Eg</w:t>
      </w:r>
      <w:proofErr w:type="spellEnd"/>
      <w:r w:rsidRPr="00FE655C">
        <w:rPr>
          <w:rFonts w:ascii="Garamond" w:eastAsia="Times New Roman" w:hAnsi="Garamond" w:cs="Times New Roman"/>
          <w:b/>
          <w:color w:val="000000"/>
          <w:sz w:val="20"/>
          <w:szCs w:val="24"/>
          <w:u w:val="single"/>
        </w:rPr>
        <w:t xml:space="preserve"> Tribunal de Justiça já se manifestou pela utilização dos parâmetros do ano anterior (2001).</w:t>
      </w:r>
    </w:p>
    <w:p w14:paraId="7FCEE22E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- No que tange ao termo inicial dos juros de mora, melhor sorte não socorre ao apelante. É preciso que seja observada a citação na ação coletiva, sob pena de suprimir do exequente individual direito que será assegurado àqueles que estão executando o julgado na ação coletiva. O valor a ser recebido pelo exequente individual não pode ser inferior ou superior ao que será recebido pelo credor que optou por satisfazer o seu crédito na ação coletiva.</w:t>
      </w:r>
    </w:p>
    <w:p w14:paraId="3EC7EA4F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RECURSO CONHECIDO E DESPROVIDO.</w:t>
      </w:r>
    </w:p>
    <w:p w14:paraId="0C7A1834" w14:textId="1B9271BE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(0060009-42.2019.8.19.0038 - APELAÇÃO. Des(a). MARIA REGINA FONSECA NOVA ALVES - Julgamento: 31/05/2022 - DÉCIMA QUINTA CÂMARA CÍVEL)</w:t>
      </w:r>
      <w:r>
        <w:rPr>
          <w:rFonts w:ascii="Garamond" w:eastAsia="Times New Roman" w:hAnsi="Garamond" w:cs="Times New Roman"/>
          <w:color w:val="000000"/>
          <w:sz w:val="20"/>
          <w:szCs w:val="24"/>
        </w:rPr>
        <w:t xml:space="preserve"> (</w:t>
      </w:r>
      <w:r>
        <w:rPr>
          <w:rFonts w:ascii="Garamond" w:eastAsia="Times New Roman" w:hAnsi="Garamond" w:cs="Times New Roman"/>
          <w:b/>
          <w:color w:val="000000"/>
          <w:sz w:val="20"/>
          <w:szCs w:val="24"/>
        </w:rPr>
        <w:t>Grifos nossos</w:t>
      </w:r>
      <w:r>
        <w:rPr>
          <w:rFonts w:ascii="Garamond" w:eastAsia="Times New Roman" w:hAnsi="Garamond" w:cs="Times New Roman"/>
          <w:color w:val="000000"/>
          <w:sz w:val="20"/>
          <w:szCs w:val="24"/>
        </w:rPr>
        <w:t>)</w:t>
      </w:r>
    </w:p>
    <w:p w14:paraId="718D3796" w14:textId="4962606B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</w:p>
    <w:p w14:paraId="0F3B1D76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Ação Civil Pública. Execução Individual. Gratificação Nova Escola. Prescrição. Recurso parcialmente provido.</w:t>
      </w:r>
    </w:p>
    <w:p w14:paraId="69E5F2E9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1. Pode o servidor ajuizar execução individual de título judicial proferido em ação coletiva ajuizada pelo sindicato da sua categoria. </w:t>
      </w:r>
    </w:p>
    <w:p w14:paraId="35A4B394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2. Ressalvado o ponto de vista do Relator, esta Câmara firmou entendimento no sentido de que a prescrição da pretensão executiva foi interrompida tempestivamente pelo sindicato nos autos da ação coletiva, com a deflagração da fase de cumprimento de sentença. </w:t>
      </w:r>
    </w:p>
    <w:p w14:paraId="0A8A13EE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3. Ademais, registrou-se que, não encerrada a fase executiva da ação coletiva, a contagem do prazo prescricional sequer foi reiniciada.</w:t>
      </w:r>
    </w:p>
    <w:p w14:paraId="6E2B38CC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4. Assim, não há prescrição.</w:t>
      </w:r>
    </w:p>
    <w:p w14:paraId="0B2ED1D0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b/>
          <w:color w:val="000000"/>
          <w:sz w:val="20"/>
          <w:szCs w:val="24"/>
          <w:u w:val="single"/>
        </w:rPr>
      </w:pPr>
      <w:r w:rsidRPr="00FE655C">
        <w:rPr>
          <w:rFonts w:ascii="Garamond" w:eastAsia="Times New Roman" w:hAnsi="Garamond" w:cs="Times New Roman"/>
          <w:b/>
          <w:color w:val="000000"/>
          <w:sz w:val="20"/>
          <w:szCs w:val="24"/>
          <w:u w:val="single"/>
        </w:rPr>
        <w:t>5. No caso vertente, embora esta Câmara tenha entendido de que o período de avaliação a ser considerado é o de 2001, a agravada elegeu o ano de 2003, pelo que, nesta questão, sequer há interesse recursal do agravante.</w:t>
      </w:r>
    </w:p>
    <w:p w14:paraId="1E33DB07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6. No tocante aos juros de mora, o termo inicial é a data da citação promovida nos autos da ação civil pública que originou o título judicial executado nos presentes autos, ou seja, 07.02.2007.</w:t>
      </w:r>
    </w:p>
    <w:p w14:paraId="46665370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7. Por outro lado, o percentual devido é de 6% ao ano, nos termos da sentença transitada em julgado, até a vigência da L. nº. 11.906/09, quando passaram os juros de mora a serem devidos no mesmo percentual dos juros remuneratórios das cadernetas de poupança.</w:t>
      </w:r>
    </w:p>
    <w:p w14:paraId="5E9BDCDB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8. No que concerne à correção monetária, cujo índice não foi precisado pela r. sentença da ação coletiva, aplica-se o índice utilizado pela </w:t>
      </w:r>
      <w:proofErr w:type="spellStart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Eg</w:t>
      </w:r>
      <w:proofErr w:type="spellEnd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. CGJ/RJ até 30.06.2009 e, após, o IPCA-E, como decidido pelo STF no tema 810. Já o termo inicial é a data em que deveria ter sido paga cada gratificação.</w:t>
      </w:r>
    </w:p>
    <w:p w14:paraId="1C74B05A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9. No mais, como a gratificação é uma gratificação </w:t>
      </w:r>
      <w:proofErr w:type="spellStart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propter</w:t>
      </w:r>
      <w:proofErr w:type="spellEnd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 laborem, que não será incorporada à aposentadoria, descabe a incidência da contribuição previdenciária, salvo quanto à parcela de R$ 50,00 (a agravada é servente, fazendo jus a 50% da gratificação destinada aos professores), porquanto essa é aumento, como já decidido por esta Corte nos autos nº. 0075201-20.2005.8.19.0001.</w:t>
      </w:r>
    </w:p>
    <w:p w14:paraId="439E2AA9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10. Honorários advocatícios de 10% do valor do crédito da apelante, ante a simplicidade da causa.</w:t>
      </w:r>
    </w:p>
    <w:p w14:paraId="25D7778D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11. Agravo de Instrumento a que se dá parcial provimento.</w:t>
      </w:r>
    </w:p>
    <w:p w14:paraId="5E19D66A" w14:textId="3F251726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(0083682-13.2021.8.19.0000 - AGRAVO DE INSTRUMENTO. Des(a). HORÁCIO DOS SANTOS RIBEIRO NETO - Julgamento: 31/05/2022 - DÉCIMA QUINTA CÂMARA CÍVEL)</w:t>
      </w:r>
      <w:r>
        <w:rPr>
          <w:rFonts w:ascii="Garamond" w:eastAsia="Times New Roman" w:hAnsi="Garamond" w:cs="Times New Roman"/>
          <w:color w:val="000000"/>
          <w:sz w:val="20"/>
          <w:szCs w:val="24"/>
        </w:rPr>
        <w:t xml:space="preserve"> (</w:t>
      </w:r>
      <w:r>
        <w:rPr>
          <w:rFonts w:ascii="Garamond" w:eastAsia="Times New Roman" w:hAnsi="Garamond" w:cs="Times New Roman"/>
          <w:b/>
          <w:color w:val="000000"/>
          <w:sz w:val="20"/>
          <w:szCs w:val="24"/>
        </w:rPr>
        <w:t>Grifos nossos</w:t>
      </w:r>
      <w:r>
        <w:rPr>
          <w:rFonts w:ascii="Garamond" w:eastAsia="Times New Roman" w:hAnsi="Garamond" w:cs="Times New Roman"/>
          <w:color w:val="000000"/>
          <w:sz w:val="20"/>
          <w:szCs w:val="24"/>
        </w:rPr>
        <w:t>)</w:t>
      </w:r>
    </w:p>
    <w:p w14:paraId="7A7B00BB" w14:textId="77777777" w:rsidR="00FE655C" w:rsidRPr="00FE655C" w:rsidRDefault="00FE655C" w:rsidP="00FE655C">
      <w:pPr>
        <w:spacing w:after="0" w:line="240" w:lineRule="auto"/>
        <w:ind w:left="2268" w:firstLine="1134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</w:p>
    <w:p w14:paraId="03729039" w14:textId="31713FF2" w:rsidR="00121354" w:rsidRDefault="00121354" w:rsidP="00121354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Portanto, </w:t>
      </w:r>
      <w:r w:rsidR="00F874C8">
        <w:rPr>
          <w:rFonts w:ascii="Garamond" w:eastAsia="Times New Roman" w:hAnsi="Garamond" w:cs="Times New Roman"/>
          <w:color w:val="000000"/>
          <w:sz w:val="24"/>
          <w:szCs w:val="24"/>
        </w:rPr>
        <w:t>é correta</w:t>
      </w:r>
      <w:r w:rsidR="007D64B5">
        <w:rPr>
          <w:rFonts w:ascii="Garamond" w:eastAsia="Times New Roman" w:hAnsi="Garamond" w:cs="Times New Roman"/>
          <w:color w:val="000000"/>
          <w:sz w:val="24"/>
          <w:szCs w:val="24"/>
        </w:rPr>
        <w:t xml:space="preserve"> a aplicação como paradigma a avaliação do ano de 2001</w:t>
      </w:r>
      <w:r w:rsidR="00F874C8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</w:p>
    <w:p w14:paraId="6413E77B" w14:textId="77777777" w:rsidR="00C13838" w:rsidRDefault="00C13838" w:rsidP="00C13838">
      <w:pPr>
        <w:spacing w:after="0" w:line="360" w:lineRule="auto"/>
        <w:ind w:firstLine="1134"/>
        <w:jc w:val="both"/>
        <w:rPr>
          <w:rFonts w:ascii="Garamond" w:hAnsi="Garamond"/>
        </w:rPr>
      </w:pPr>
      <w:r w:rsidRPr="0022230E">
        <w:rPr>
          <w:rFonts w:ascii="Garamond" w:hAnsi="Garamond"/>
        </w:rPr>
        <w:lastRenderedPageBreak/>
        <w:t xml:space="preserve">Conforme Decisões da Sexta Câmara de Direito Público, Câmara Preventa, a fluência dos juros de mora está de acordo com a tese definida no Tema Repetitivo nº 685 do STJ: "Os juros de mora incidem a partir da citação do devedor no processo de conhecimento da Ação Civil Pública quando </w:t>
      </w:r>
      <w:proofErr w:type="spellStart"/>
      <w:r w:rsidRPr="0022230E">
        <w:rPr>
          <w:rFonts w:ascii="Garamond" w:hAnsi="Garamond"/>
        </w:rPr>
        <w:t>esta</w:t>
      </w:r>
      <w:proofErr w:type="spellEnd"/>
      <w:r w:rsidRPr="0022230E">
        <w:rPr>
          <w:rFonts w:ascii="Garamond" w:hAnsi="Garamond"/>
        </w:rPr>
        <w:t xml:space="preserve"> se fundar em responsabilidade contratual, cujo inadimplemento já produza a mora, salvo a configuração da mora em momento anterior".</w:t>
      </w:r>
    </w:p>
    <w:p w14:paraId="6AA4389E" w14:textId="77777777" w:rsidR="00C13838" w:rsidRPr="0022230E" w:rsidRDefault="00C13838" w:rsidP="00C13838">
      <w:pPr>
        <w:spacing w:after="0" w:line="240" w:lineRule="auto"/>
        <w:ind w:firstLine="1134"/>
        <w:jc w:val="both"/>
        <w:rPr>
          <w:rFonts w:ascii="Garamond" w:hAnsi="Garamond"/>
        </w:rPr>
      </w:pPr>
    </w:p>
    <w:p w14:paraId="391CE48F" w14:textId="77777777" w:rsidR="00C13838" w:rsidRPr="0022230E" w:rsidRDefault="00C13838" w:rsidP="00C13838">
      <w:pPr>
        <w:spacing w:after="0" w:line="360" w:lineRule="auto"/>
        <w:ind w:firstLine="1134"/>
        <w:jc w:val="both"/>
        <w:rPr>
          <w:rFonts w:ascii="Garamond" w:hAnsi="Garamond"/>
        </w:rPr>
      </w:pPr>
      <w:r w:rsidRPr="0022230E">
        <w:rPr>
          <w:rFonts w:ascii="Garamond" w:hAnsi="Garamond"/>
        </w:rPr>
        <w:t>Com relação à correção monetária deve incidir os Temas nº 905 (item 3.1.1) do STJ e 810 do STF, ou seja, aplicação do IPCA-E e, após a EC nº 113/2021, da Taxa Selic.</w:t>
      </w:r>
    </w:p>
    <w:p w14:paraId="24790FA7" w14:textId="77777777" w:rsidR="00C13838" w:rsidRPr="0022230E" w:rsidRDefault="00C13838" w:rsidP="00C13838">
      <w:pPr>
        <w:spacing w:after="0" w:line="240" w:lineRule="auto"/>
        <w:ind w:firstLine="1134"/>
        <w:jc w:val="both"/>
        <w:rPr>
          <w:rFonts w:ascii="Garamond" w:hAnsi="Garamond"/>
          <w:sz w:val="14"/>
          <w:szCs w:val="14"/>
        </w:rPr>
      </w:pPr>
    </w:p>
    <w:p w14:paraId="535A3B01" w14:textId="77777777" w:rsidR="00C13838" w:rsidRPr="0022230E" w:rsidRDefault="00C13838" w:rsidP="00C13838">
      <w:pPr>
        <w:spacing w:after="0" w:line="240" w:lineRule="auto"/>
        <w:ind w:left="2268"/>
        <w:jc w:val="both"/>
        <w:rPr>
          <w:rFonts w:ascii="Garamond" w:hAnsi="Garamond"/>
        </w:rPr>
      </w:pPr>
      <w:r w:rsidRPr="0022230E">
        <w:rPr>
          <w:rFonts w:ascii="Garamond" w:hAnsi="Garamond"/>
        </w:rPr>
        <w:t xml:space="preserve">3.1.1 Condenações judiciais referentes a servidores e empregados públicos. As condenações judiciais referentes a servidores e empregados públicos, sujeitam-se aos seguintes encargos:  </w:t>
      </w:r>
    </w:p>
    <w:p w14:paraId="47967E30" w14:textId="77777777" w:rsidR="00C13838" w:rsidRPr="0022230E" w:rsidRDefault="00C13838" w:rsidP="00C13838">
      <w:pPr>
        <w:spacing w:after="0" w:line="240" w:lineRule="auto"/>
        <w:ind w:left="2268"/>
        <w:jc w:val="both"/>
        <w:rPr>
          <w:rFonts w:ascii="Garamond" w:hAnsi="Garamond"/>
        </w:rPr>
      </w:pPr>
      <w:r w:rsidRPr="0022230E">
        <w:rPr>
          <w:rFonts w:ascii="Garamond" w:hAnsi="Garamond"/>
        </w:rPr>
        <w:t xml:space="preserve">(a) até julho/2001: juros de mora: 1% ao mês (capitalização simples); correção monetária: índices previstos no Manual de Cálculos da Justiça Federal, com destaque para a incidência do IPCA-E a partir de janeiro/2001; </w:t>
      </w:r>
    </w:p>
    <w:p w14:paraId="7373D5B2" w14:textId="77777777" w:rsidR="00C13838" w:rsidRPr="0022230E" w:rsidRDefault="00C13838" w:rsidP="00C13838">
      <w:pPr>
        <w:spacing w:after="0" w:line="360" w:lineRule="auto"/>
        <w:ind w:left="2268"/>
        <w:jc w:val="both"/>
        <w:rPr>
          <w:rFonts w:ascii="Garamond" w:hAnsi="Garamond"/>
        </w:rPr>
      </w:pPr>
      <w:r w:rsidRPr="0022230E">
        <w:rPr>
          <w:rFonts w:ascii="Garamond" w:hAnsi="Garamond"/>
        </w:rPr>
        <w:t xml:space="preserve">(b) agosto/2001 a junho/2009: juros de mora: 0,5% ao mês; correção monetária: IPCA-E;  </w:t>
      </w:r>
    </w:p>
    <w:p w14:paraId="3DD9FAD6" w14:textId="77777777" w:rsidR="00C13838" w:rsidRPr="0022230E" w:rsidRDefault="00C13838" w:rsidP="00C13838">
      <w:pPr>
        <w:spacing w:after="0" w:line="240" w:lineRule="auto"/>
        <w:ind w:left="2268"/>
        <w:jc w:val="both"/>
        <w:rPr>
          <w:rFonts w:ascii="Garamond" w:hAnsi="Garamond"/>
        </w:rPr>
      </w:pPr>
      <w:r w:rsidRPr="0022230E">
        <w:rPr>
          <w:rFonts w:ascii="Garamond" w:hAnsi="Garamond"/>
        </w:rPr>
        <w:t>(c) a partir de julho/2009: juros de mora: remuneração oficial da caderneta de poupança; correção monetária: IPCA-E.</w:t>
      </w:r>
    </w:p>
    <w:p w14:paraId="6E78B03E" w14:textId="77777777" w:rsidR="00C13838" w:rsidRPr="0022230E" w:rsidRDefault="00C13838" w:rsidP="00C13838">
      <w:pPr>
        <w:spacing w:after="0"/>
        <w:ind w:firstLine="1134"/>
        <w:jc w:val="both"/>
        <w:rPr>
          <w:rFonts w:ascii="Garamond" w:hAnsi="Garamond"/>
        </w:rPr>
      </w:pPr>
    </w:p>
    <w:p w14:paraId="270E25D3" w14:textId="77777777" w:rsidR="00C13838" w:rsidRPr="0022230E" w:rsidRDefault="00C13838" w:rsidP="00C13838">
      <w:pPr>
        <w:spacing w:after="0" w:line="360" w:lineRule="auto"/>
        <w:ind w:firstLine="1134"/>
        <w:jc w:val="both"/>
        <w:rPr>
          <w:rFonts w:ascii="Garamond" w:hAnsi="Garamond"/>
        </w:rPr>
      </w:pPr>
      <w:r w:rsidRPr="0022230E">
        <w:rPr>
          <w:rFonts w:ascii="Garamond" w:hAnsi="Garamond"/>
        </w:rPr>
        <w:t>Após a promulgação da EC nº 113/2021, a atualização monetária e compensação da mora, será realizada pela aplicação isolada da Taxa Selic, conforme assentado no art. 3º da norma constitucional:</w:t>
      </w:r>
    </w:p>
    <w:p w14:paraId="64CDC752" w14:textId="77777777" w:rsidR="00C13838" w:rsidRPr="0022230E" w:rsidRDefault="00C13838" w:rsidP="00C13838">
      <w:pPr>
        <w:spacing w:after="0" w:line="240" w:lineRule="auto"/>
        <w:jc w:val="both"/>
        <w:rPr>
          <w:rFonts w:ascii="Garamond" w:hAnsi="Garamond"/>
          <w:sz w:val="16"/>
          <w:szCs w:val="16"/>
        </w:rPr>
      </w:pPr>
    </w:p>
    <w:p w14:paraId="4564936B" w14:textId="77777777" w:rsidR="00C13838" w:rsidRPr="0022230E" w:rsidRDefault="00C13838" w:rsidP="00C13838">
      <w:pPr>
        <w:spacing w:after="0" w:line="240" w:lineRule="auto"/>
        <w:ind w:left="2268"/>
        <w:jc w:val="both"/>
        <w:rPr>
          <w:rFonts w:ascii="Garamond" w:hAnsi="Garamond"/>
        </w:rPr>
      </w:pPr>
      <w:r w:rsidRPr="0022230E">
        <w:rPr>
          <w:rFonts w:ascii="Garamond" w:hAnsi="Garamond"/>
        </w:rPr>
        <w:t>Art. 3º Nas discussões e nas condenações que envolvam a Fazenda Pública, independentemente de sua natureza e para fins de atualização monetária, de remuneração do capital e de compensação da mora, inclusive do precatório, haverá a incidência, uma única vez, até o efetivo pagamento, do índice da taxa referencial do Sistema Especial de Liquidação e de Custódia (Selic), acumulado mensalmente.</w:t>
      </w:r>
    </w:p>
    <w:p w14:paraId="2B91C994" w14:textId="77777777" w:rsidR="00C13838" w:rsidRPr="00C13838" w:rsidRDefault="00C13838" w:rsidP="00C13838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14"/>
          <w:szCs w:val="14"/>
        </w:rPr>
      </w:pPr>
    </w:p>
    <w:p w14:paraId="73AA372E" w14:textId="77777777" w:rsidR="00C13838" w:rsidRDefault="00C13838" w:rsidP="00074000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495C346E" w14:textId="12EEF142" w:rsidR="00074000" w:rsidRPr="00121354" w:rsidRDefault="00121354" w:rsidP="00074000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Por todo o exposto, </w:t>
      </w:r>
      <w:r w:rsidR="00F874C8" w:rsidRP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requer </w:t>
      </w:r>
      <w:r w:rsidRP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a V. Exa. </w:t>
      </w:r>
      <w:r w:rsidR="00F874C8">
        <w:rPr>
          <w:rFonts w:ascii="Garamond" w:eastAsia="Times New Roman" w:hAnsi="Garamond" w:cs="Times New Roman"/>
          <w:color w:val="000000"/>
          <w:sz w:val="24"/>
          <w:szCs w:val="24"/>
        </w:rPr>
        <w:t xml:space="preserve">Que seja determinada </w:t>
      </w:r>
      <w:r w:rsidR="00BC290E">
        <w:rPr>
          <w:rFonts w:ascii="Garamond" w:eastAsia="Times New Roman" w:hAnsi="Garamond" w:cs="Times New Roman"/>
          <w:color w:val="000000"/>
          <w:sz w:val="24"/>
          <w:szCs w:val="24"/>
        </w:rPr>
        <w:t>a</w:t>
      </w:r>
      <w:r w:rsidR="00BC290E" w:rsidRPr="00D534AF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 aplicação como paradigma a avaliação do ano de 2001</w:t>
      </w:r>
      <w:r w:rsidR="00074000" w:rsidRPr="0012135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</w:p>
    <w:p w14:paraId="5A1F6BE5" w14:textId="027B21C9" w:rsidR="00421B28" w:rsidRDefault="00421B28" w:rsidP="00421B28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48CBDD95" w14:textId="5000747F" w:rsidR="00421B28" w:rsidRDefault="00421B28" w:rsidP="00421B28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57916C3D" w14:textId="77777777" w:rsidR="00421B28" w:rsidRDefault="00421B28" w:rsidP="00421B28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421B28">
        <w:rPr>
          <w:rFonts w:ascii="Garamond" w:eastAsia="Times New Roman" w:hAnsi="Garamond" w:cs="Times New Roman"/>
          <w:color w:val="000000"/>
          <w:sz w:val="24"/>
          <w:szCs w:val="24"/>
        </w:rPr>
        <w:t xml:space="preserve">Nestes termos, </w:t>
      </w:r>
    </w:p>
    <w:p w14:paraId="7A2C988D" w14:textId="7821A28E" w:rsidR="00421B28" w:rsidRDefault="00421B28" w:rsidP="00421B28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>P</w:t>
      </w:r>
      <w:r w:rsidRPr="00421B28">
        <w:rPr>
          <w:rFonts w:ascii="Garamond" w:eastAsia="Times New Roman" w:hAnsi="Garamond" w:cs="Times New Roman"/>
          <w:color w:val="000000"/>
          <w:sz w:val="24"/>
          <w:szCs w:val="24"/>
        </w:rPr>
        <w:t>ede deferimento.</w:t>
      </w:r>
    </w:p>
    <w:p w14:paraId="7893AE57" w14:textId="77777777" w:rsidR="00421B28" w:rsidRPr="00421B28" w:rsidRDefault="00421B28" w:rsidP="00421B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E55887" w14:textId="43960C96" w:rsidR="00421B28" w:rsidRDefault="00421B28" w:rsidP="00421B28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421B28">
        <w:rPr>
          <w:rFonts w:ascii="Garamond" w:eastAsia="Times New Roman" w:hAnsi="Garamond" w:cs="Times New Roman"/>
          <w:color w:val="000000"/>
          <w:sz w:val="24"/>
          <w:szCs w:val="24"/>
        </w:rPr>
        <w:t xml:space="preserve">Niterói. </w:t>
      </w:r>
      <w:r w:rsidR="00D534AF">
        <w:rPr>
          <w:rFonts w:ascii="Garamond" w:eastAsia="Times New Roman" w:hAnsi="Garamond" w:cs="Times New Roman"/>
          <w:color w:val="000000"/>
          <w:sz w:val="24"/>
          <w:szCs w:val="24"/>
        </w:rPr>
        <w:fldChar w:fldCharType="begin"/>
      </w:r>
      <w:r w:rsidR="00D534AF">
        <w:rPr>
          <w:rFonts w:ascii="Garamond" w:eastAsia="Times New Roman" w:hAnsi="Garamond" w:cs="Times New Roman"/>
          <w:color w:val="000000"/>
          <w:sz w:val="24"/>
          <w:szCs w:val="24"/>
        </w:rPr>
        <w:instrText xml:space="preserve"> TIME \@ "d' de 'MMMM' de 'yyyy" </w:instrText>
      </w:r>
      <w:r w:rsidR="00D534AF">
        <w:rPr>
          <w:rFonts w:ascii="Garamond" w:eastAsia="Times New Roman" w:hAnsi="Garamond" w:cs="Times New Roman"/>
          <w:color w:val="000000"/>
          <w:sz w:val="24"/>
          <w:szCs w:val="24"/>
        </w:rPr>
        <w:fldChar w:fldCharType="separate"/>
      </w:r>
      <w:r w:rsidR="00C13838">
        <w:rPr>
          <w:rFonts w:ascii="Garamond" w:eastAsia="Times New Roman" w:hAnsi="Garamond" w:cs="Times New Roman"/>
          <w:noProof/>
          <w:color w:val="000000"/>
          <w:sz w:val="24"/>
          <w:szCs w:val="24"/>
        </w:rPr>
        <w:t>12 de outubro de 2023</w:t>
      </w:r>
      <w:r w:rsidR="00D534AF">
        <w:rPr>
          <w:rFonts w:ascii="Garamond" w:eastAsia="Times New Roman" w:hAnsi="Garamond" w:cs="Times New Roman"/>
          <w:color w:val="000000"/>
          <w:sz w:val="24"/>
          <w:szCs w:val="24"/>
        </w:rPr>
        <w:fldChar w:fldCharType="end"/>
      </w:r>
      <w:r w:rsidRPr="00421B28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</w:p>
    <w:p w14:paraId="6B0DFB6B" w14:textId="77777777" w:rsidR="00D534AF" w:rsidRDefault="00D534AF" w:rsidP="00421B28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668361F2" w14:textId="77777777" w:rsidR="00D534AF" w:rsidRDefault="00D534AF" w:rsidP="00421B28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68FF5285" w14:textId="77777777" w:rsidR="00D534AF" w:rsidRDefault="00D534AF" w:rsidP="00421B28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7B6A5630" w14:textId="77777777" w:rsidR="00D534AF" w:rsidRDefault="00D534AF" w:rsidP="00421B28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</w:p>
    <w:tbl>
      <w:tblPr>
        <w:tblStyle w:val="TableGrid"/>
        <w:tblW w:w="9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D534AF" w14:paraId="4BC9E22E" w14:textId="77777777" w:rsidTr="00D534AF">
        <w:tc>
          <w:tcPr>
            <w:tcW w:w="4814" w:type="dxa"/>
          </w:tcPr>
          <w:p w14:paraId="77F56AB9" w14:textId="77777777" w:rsidR="00D534AF" w:rsidRDefault="00D534AF" w:rsidP="00D534AF">
            <w:pPr>
              <w:jc w:val="center"/>
              <w:rPr>
                <w:rFonts w:ascii="Garamond" w:eastAsia="Times New Roman" w:hAnsi="Garamond" w:cs="Times New Roman"/>
                <w:b/>
                <w:bCs/>
                <w:color w:val="00000A"/>
                <w:sz w:val="24"/>
                <w:szCs w:val="24"/>
              </w:rPr>
            </w:pPr>
            <w:r w:rsidRPr="00421B28">
              <w:rPr>
                <w:rFonts w:ascii="Garamond" w:eastAsia="Times New Roman" w:hAnsi="Garamond" w:cs="Times New Roman"/>
                <w:b/>
                <w:bCs/>
                <w:color w:val="00000A"/>
                <w:sz w:val="24"/>
                <w:szCs w:val="24"/>
              </w:rPr>
              <w:t>LIZ WERNER</w:t>
            </w:r>
          </w:p>
          <w:p w14:paraId="38FEE6DF" w14:textId="1D0C232C" w:rsidR="00D534AF" w:rsidRDefault="00D534AF" w:rsidP="00D53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B28">
              <w:rPr>
                <w:rFonts w:ascii="Garamond" w:eastAsia="Times New Roman" w:hAnsi="Garamond" w:cs="Times New Roman"/>
                <w:b/>
                <w:bCs/>
                <w:color w:val="00000A"/>
                <w:sz w:val="24"/>
                <w:szCs w:val="24"/>
              </w:rPr>
              <w:t>OAB/RJ 184.888</w:t>
            </w:r>
          </w:p>
        </w:tc>
        <w:tc>
          <w:tcPr>
            <w:tcW w:w="4814" w:type="dxa"/>
          </w:tcPr>
          <w:p w14:paraId="018D52D3" w14:textId="77777777" w:rsidR="00D534AF" w:rsidRPr="00421B28" w:rsidRDefault="00D534AF" w:rsidP="00D534AF">
            <w:pPr>
              <w:pStyle w:val="NormalWeb"/>
              <w:spacing w:before="0" w:beforeAutospacing="0" w:after="0" w:afterAutospacing="0"/>
              <w:jc w:val="center"/>
              <w:rPr>
                <w:rFonts w:ascii="Garamond" w:hAnsi="Garamond"/>
                <w:b/>
                <w:bCs/>
              </w:rPr>
            </w:pPr>
            <w:r w:rsidRPr="00421B28">
              <w:rPr>
                <w:rFonts w:ascii="Garamond" w:hAnsi="Garamond"/>
                <w:b/>
                <w:bCs/>
                <w:color w:val="000000"/>
              </w:rPr>
              <w:t>THIAGO JOSÉ AGUIAR DA SILVA</w:t>
            </w:r>
          </w:p>
          <w:p w14:paraId="25AF0B7F" w14:textId="77777777" w:rsidR="00D534AF" w:rsidRPr="00421B28" w:rsidRDefault="00D534AF" w:rsidP="00D534AF">
            <w:pPr>
              <w:pStyle w:val="NormalWeb"/>
              <w:spacing w:before="0" w:beforeAutospacing="0" w:after="0" w:afterAutospacing="0"/>
              <w:jc w:val="center"/>
              <w:rPr>
                <w:rFonts w:ascii="Garamond" w:hAnsi="Garamond"/>
                <w:b/>
                <w:bCs/>
              </w:rPr>
            </w:pPr>
            <w:r w:rsidRPr="00421B28">
              <w:rPr>
                <w:rFonts w:ascii="Garamond" w:hAnsi="Garamond"/>
                <w:b/>
                <w:bCs/>
                <w:color w:val="000000"/>
              </w:rPr>
              <w:t>OAB/RJ 213</w:t>
            </w:r>
            <w:r>
              <w:rPr>
                <w:rFonts w:ascii="Garamond" w:hAnsi="Garamond"/>
                <w:b/>
                <w:bCs/>
                <w:color w:val="000000"/>
              </w:rPr>
              <w:t>.</w:t>
            </w:r>
            <w:r w:rsidRPr="00421B28">
              <w:rPr>
                <w:rFonts w:ascii="Garamond" w:hAnsi="Garamond"/>
                <w:b/>
                <w:bCs/>
                <w:color w:val="000000"/>
              </w:rPr>
              <w:t>181</w:t>
            </w:r>
          </w:p>
          <w:p w14:paraId="7359F2C4" w14:textId="4A4AF752" w:rsidR="00D534AF" w:rsidRDefault="00D534AF" w:rsidP="00D53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AD75E" w14:textId="77777777" w:rsidR="00D534AF" w:rsidRPr="00421B28" w:rsidRDefault="00D534AF" w:rsidP="00D5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D534AF" w:rsidRPr="00421B28">
      <w:headerReference w:type="default" r:id="rId9"/>
      <w:footerReference w:type="default" r:id="rId10"/>
      <w:pgSz w:w="11906" w:h="16838"/>
      <w:pgMar w:top="2127" w:right="1134" w:bottom="720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62566" w14:textId="77777777" w:rsidR="00DC559A" w:rsidRDefault="00DC559A">
      <w:pPr>
        <w:spacing w:after="0" w:line="240" w:lineRule="auto"/>
      </w:pPr>
      <w:r>
        <w:separator/>
      </w:r>
    </w:p>
  </w:endnote>
  <w:endnote w:type="continuationSeparator" w:id="0">
    <w:p w14:paraId="2AA44CD3" w14:textId="77777777" w:rsidR="00DC559A" w:rsidRDefault="00DC5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6B773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0BC73E17" wp14:editId="75A5ADA0">
          <wp:simplePos x="0" y="0"/>
          <wp:positionH relativeFrom="column">
            <wp:posOffset>-616584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2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9879EA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7002D8F2" wp14:editId="3849A5A4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7C644371" wp14:editId="2D7C2F1A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89D641" w14:textId="77777777" w:rsidR="001E469E" w:rsidRDefault="001E46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4FED6A0F" w14:textId="5A32E672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9B6745">
      <w:rPr>
        <w:b/>
        <w:noProof/>
        <w:color w:val="000000"/>
      </w:rPr>
      <w:t>4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9B6745">
      <w:rPr>
        <w:b/>
        <w:noProof/>
        <w:color w:val="000000"/>
      </w:rPr>
      <w:t>4</w:t>
    </w:r>
    <w:r>
      <w:rPr>
        <w:b/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1027C566" wp14:editId="60CCA26F">
          <wp:simplePos x="0" y="0"/>
          <wp:positionH relativeFrom="column">
            <wp:posOffset>1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AEF7C" w14:textId="77777777" w:rsidR="00DC559A" w:rsidRDefault="00DC559A">
      <w:pPr>
        <w:spacing w:after="0" w:line="240" w:lineRule="auto"/>
      </w:pPr>
      <w:r>
        <w:separator/>
      </w:r>
    </w:p>
  </w:footnote>
  <w:footnote w:type="continuationSeparator" w:id="0">
    <w:p w14:paraId="2C3C17EC" w14:textId="77777777" w:rsidR="00DC559A" w:rsidRDefault="00DC5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5DB21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142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16B58269" wp14:editId="4C58B948">
          <wp:simplePos x="0" y="0"/>
          <wp:positionH relativeFrom="column">
            <wp:posOffset>0</wp:posOffset>
          </wp:positionH>
          <wp:positionV relativeFrom="paragraph">
            <wp:posOffset>-325754</wp:posOffset>
          </wp:positionV>
          <wp:extent cx="1219200" cy="1093867"/>
          <wp:effectExtent l="0" t="0" r="0" b="0"/>
          <wp:wrapNone/>
          <wp:docPr id="12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2C8CF69" wp14:editId="6CC990DC">
          <wp:simplePos x="0" y="0"/>
          <wp:positionH relativeFrom="column">
            <wp:posOffset>4843780</wp:posOffset>
          </wp:positionH>
          <wp:positionV relativeFrom="paragraph">
            <wp:posOffset>-343534</wp:posOffset>
          </wp:positionV>
          <wp:extent cx="1275715" cy="1046480"/>
          <wp:effectExtent l="0" t="0" r="0" b="0"/>
          <wp:wrapSquare wrapText="bothSides" distT="0" distB="0" distL="114300" distR="114300"/>
          <wp:docPr id="12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FC6"/>
    <w:multiLevelType w:val="multilevel"/>
    <w:tmpl w:val="6AAA7B72"/>
    <w:lvl w:ilvl="0">
      <w:start w:val="2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8132A4"/>
    <w:multiLevelType w:val="multilevel"/>
    <w:tmpl w:val="D842DD96"/>
    <w:lvl w:ilvl="0">
      <w:start w:val="1"/>
      <w:numFmt w:val="lowerRoman"/>
      <w:lvlText w:val="%1."/>
      <w:lvlJc w:val="left"/>
      <w:pPr>
        <w:ind w:left="1854" w:hanging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7C84F5F"/>
    <w:multiLevelType w:val="multilevel"/>
    <w:tmpl w:val="62ACF83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577587">
    <w:abstractNumId w:val="0"/>
  </w:num>
  <w:num w:numId="2" w16cid:durableId="1806729026">
    <w:abstractNumId w:val="1"/>
  </w:num>
  <w:num w:numId="3" w16cid:durableId="1767651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9E"/>
    <w:rsid w:val="00074000"/>
    <w:rsid w:val="000D3E64"/>
    <w:rsid w:val="00121354"/>
    <w:rsid w:val="00182F75"/>
    <w:rsid w:val="001E469E"/>
    <w:rsid w:val="00284931"/>
    <w:rsid w:val="00337C02"/>
    <w:rsid w:val="00370984"/>
    <w:rsid w:val="00380F0C"/>
    <w:rsid w:val="00421B28"/>
    <w:rsid w:val="0047358F"/>
    <w:rsid w:val="00535BE9"/>
    <w:rsid w:val="0054770D"/>
    <w:rsid w:val="005A724F"/>
    <w:rsid w:val="00765A3F"/>
    <w:rsid w:val="00787AA4"/>
    <w:rsid w:val="007D64B5"/>
    <w:rsid w:val="00805B06"/>
    <w:rsid w:val="0084223B"/>
    <w:rsid w:val="00856237"/>
    <w:rsid w:val="00970D28"/>
    <w:rsid w:val="009B6745"/>
    <w:rsid w:val="00B76638"/>
    <w:rsid w:val="00BC290E"/>
    <w:rsid w:val="00C13838"/>
    <w:rsid w:val="00C43117"/>
    <w:rsid w:val="00D534AF"/>
    <w:rsid w:val="00DC559A"/>
    <w:rsid w:val="00E75EE0"/>
    <w:rsid w:val="00F550BB"/>
    <w:rsid w:val="00F874C8"/>
    <w:rsid w:val="00FD1F26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7C26"/>
  <w15:docId w15:val="{4D14D923-A608-499F-9674-13C7E22F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2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53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3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85886">
                                  <w:marLeft w:val="0"/>
                                  <w:marRight w:val="0"/>
                                  <w:marTop w:val="3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063705">
                                      <w:blockQuote w:val="1"/>
                                      <w:marLeft w:val="420"/>
                                      <w:marRight w:val="0"/>
                                      <w:marTop w:val="630"/>
                                      <w:marBottom w:val="630"/>
                                      <w:divBdr>
                                        <w:top w:val="single" w:sz="6" w:space="31" w:color="ECF0F1"/>
                                        <w:left w:val="single" w:sz="6" w:space="31" w:color="ECF0F1"/>
                                        <w:bottom w:val="single" w:sz="6" w:space="31" w:color="ECF0F1"/>
                                        <w:right w:val="single" w:sz="6" w:space="31" w:color="ECF0F1"/>
                                      </w:divBdr>
                                    </w:div>
                                    <w:div w:id="1849833702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70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01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40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2824291">
                          <w:marLeft w:val="0"/>
                          <w:marRight w:val="0"/>
                          <w:marTop w:val="4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5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CEEF0"/>
                                <w:left w:val="single" w:sz="6" w:space="31" w:color="ECEEF0"/>
                                <w:bottom w:val="single" w:sz="6" w:space="0" w:color="ECEEF0"/>
                                <w:right w:val="single" w:sz="6" w:space="0" w:color="ECEEF0"/>
                              </w:divBdr>
                            </w:div>
                          </w:divsChild>
                        </w:div>
                        <w:div w:id="6587701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CEEF0"/>
                                <w:left w:val="single" w:sz="6" w:space="31" w:color="ECEEF0"/>
                                <w:bottom w:val="single" w:sz="6" w:space="0" w:color="ECEEF0"/>
                                <w:right w:val="single" w:sz="6" w:space="0" w:color="ECEEF0"/>
                              </w:divBdr>
                            </w:div>
                          </w:divsChild>
                        </w:div>
                        <w:div w:id="39003616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20" w:color="ECEEF0"/>
                            <w:left w:val="single" w:sz="6" w:space="20" w:color="ECEEF0"/>
                            <w:bottom w:val="single" w:sz="6" w:space="20" w:color="ECEEF0"/>
                            <w:right w:val="single" w:sz="6" w:space="20" w:color="ECEEF0"/>
                          </w:divBdr>
                          <w:divsChild>
                            <w:div w:id="28307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7168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64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8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348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95241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37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17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1886091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60942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94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69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028869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59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1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72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623514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92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0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38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8788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30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6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34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4691172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9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0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28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02869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5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376497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2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8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4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7032">
                          <w:marLeft w:val="0"/>
                          <w:marRight w:val="450"/>
                          <w:marTop w:val="1440"/>
                          <w:marBottom w:val="6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29256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815960">
                          <w:marLeft w:val="0"/>
                          <w:marRight w:val="450"/>
                          <w:marTop w:val="1440"/>
                          <w:marBottom w:val="6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6283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37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225628">
                          <w:marLeft w:val="0"/>
                          <w:marRight w:val="450"/>
                          <w:marTop w:val="1440"/>
                          <w:marBottom w:val="6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7745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0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1026432">
                          <w:marLeft w:val="0"/>
                          <w:marRight w:val="450"/>
                          <w:marTop w:val="1440"/>
                          <w:marBottom w:val="6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739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47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9612522">
                  <w:marLeft w:val="0"/>
                  <w:marRight w:val="0"/>
                  <w:marTop w:val="0"/>
                  <w:marBottom w:val="0"/>
                  <w:divBdr>
                    <w:top w:val="single" w:sz="6" w:space="23" w:color="1A1A1A"/>
                    <w:left w:val="none" w:sz="0" w:space="0" w:color="auto"/>
                    <w:bottom w:val="none" w:sz="0" w:space="23" w:color="auto"/>
                    <w:right w:val="none" w:sz="0" w:space="0" w:color="auto"/>
                  </w:divBdr>
                  <w:divsChild>
                    <w:div w:id="7848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05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7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15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3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u2J+chKHWWxo/xZmH17vz/IWjQ==">AMUW2mUk416uSmHYZpiIodn1D49yDumg9NWZB7gFAlwj2ceOIsyz6i2OszlbgtEv6Rvb5zSAhnV+e0oaXQoiZu+SGztzietYxDmXiYfiuuU+1CutEdk3gMF9LpcB+fK/mCvt76Ny/m0a3eQOuqtW7NlDtTZzWZkEyg==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 Formaggini</dc:creator>
  <cp:lastModifiedBy>Liz Werner</cp:lastModifiedBy>
  <cp:revision>2</cp:revision>
  <cp:lastPrinted>2023-10-06T10:19:00Z</cp:lastPrinted>
  <dcterms:created xsi:type="dcterms:W3CDTF">2023-10-12T20:40:00Z</dcterms:created>
  <dcterms:modified xsi:type="dcterms:W3CDTF">2023-10-12T20:40:00Z</dcterms:modified>
</cp:coreProperties>
</file>