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FAA" w14:textId="77777777" w:rsidR="004119F2" w:rsidRPr="000941C7" w:rsidRDefault="004119F2" w:rsidP="004119F2">
      <w:pPr>
        <w:spacing w:line="360" w:lineRule="auto"/>
        <w:jc w:val="both"/>
        <w:rPr>
          <w:rFonts w:eastAsia="Garamond"/>
          <w:b/>
          <w:sz w:val="28"/>
          <w:szCs w:val="28"/>
        </w:rPr>
      </w:pPr>
      <w:bookmarkStart w:id="0" w:name="_heading=h.82ji7xqlczlk" w:colFirst="0" w:colLast="0"/>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1874CBB0" w14:textId="77777777" w:rsidR="004119F2" w:rsidRPr="00923F43" w:rsidRDefault="004119F2" w:rsidP="004119F2">
      <w:pPr>
        <w:spacing w:line="360" w:lineRule="auto"/>
        <w:jc w:val="both"/>
        <w:rPr>
          <w:rFonts w:eastAsia="Garamond"/>
          <w:sz w:val="12"/>
          <w:szCs w:val="12"/>
        </w:rPr>
      </w:pPr>
    </w:p>
    <w:p w14:paraId="53B6E691" w14:textId="77777777" w:rsidR="004119F2" w:rsidRPr="00923F43" w:rsidRDefault="004119F2" w:rsidP="004119F2">
      <w:pPr>
        <w:spacing w:line="360" w:lineRule="auto"/>
        <w:jc w:val="both"/>
        <w:rPr>
          <w:rFonts w:eastAsia="Garamond"/>
          <w:sz w:val="12"/>
          <w:szCs w:val="12"/>
        </w:rPr>
      </w:pPr>
    </w:p>
    <w:p w14:paraId="2AB83B65" w14:textId="77777777" w:rsidR="004119F2" w:rsidRPr="000941C7" w:rsidRDefault="004119F2" w:rsidP="004119F2">
      <w:pPr>
        <w:spacing w:line="360" w:lineRule="auto"/>
        <w:jc w:val="both"/>
        <w:rPr>
          <w:rFonts w:eastAsia="Garamond"/>
          <w:b/>
        </w:rPr>
      </w:pPr>
      <w:r w:rsidRPr="000941C7">
        <w:rPr>
          <w:rFonts w:eastAsia="Garamond"/>
          <w:b/>
        </w:rPr>
        <w:t>Processo nº [PROCESSO]</w:t>
      </w:r>
    </w:p>
    <w:p w14:paraId="78CB48B0" w14:textId="77777777" w:rsidR="004119F2" w:rsidRPr="00923F43" w:rsidRDefault="004119F2" w:rsidP="004119F2">
      <w:pPr>
        <w:spacing w:line="360" w:lineRule="auto"/>
        <w:jc w:val="both"/>
        <w:rPr>
          <w:rFonts w:eastAsia="Garamond"/>
          <w:sz w:val="2"/>
          <w:szCs w:val="2"/>
        </w:rPr>
      </w:pPr>
    </w:p>
    <w:p w14:paraId="29B06E37" w14:textId="77777777" w:rsidR="004119F2" w:rsidRPr="00923F43" w:rsidRDefault="004119F2" w:rsidP="004119F2">
      <w:pPr>
        <w:spacing w:line="360" w:lineRule="auto"/>
        <w:jc w:val="both"/>
        <w:rPr>
          <w:rFonts w:eastAsia="Garamond"/>
          <w:sz w:val="12"/>
          <w:szCs w:val="12"/>
        </w:rPr>
      </w:pPr>
    </w:p>
    <w:p w14:paraId="696EE5CB" w14:textId="0061358A" w:rsidR="00FC1C3C" w:rsidRPr="00EB3A4B" w:rsidRDefault="004119F2" w:rsidP="004119F2">
      <w:pPr>
        <w:spacing w:line="360" w:lineRule="auto"/>
        <w:jc w:val="both"/>
        <w:rPr>
          <w:rFonts w:eastAsia="Calibri"/>
        </w:rPr>
      </w:pPr>
      <w:r w:rsidRPr="000941C7">
        <w:rPr>
          <w:rFonts w:eastAsia="Garamond"/>
          <w:b/>
        </w:rPr>
        <w:t>[NOME]</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 xml:space="preserve">FUNDO ÚNICO DE PREVIDÊNCIA SOCIAL DO ESTADO DO RIO DE JANEIRO - RIOPREVIDÊNCIA </w:t>
      </w:r>
      <w:r w:rsidR="006646AF">
        <w:rPr>
          <w:rFonts w:eastAsia="Calibri"/>
        </w:rPr>
        <w:t>e</w:t>
      </w:r>
      <w:r w:rsidR="006646AF">
        <w:rPr>
          <w:rFonts w:eastAsia="Calibri"/>
          <w:b/>
        </w:rPr>
        <w:t xml:space="preserve"> 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apresentar </w:t>
      </w:r>
      <w:r w:rsidR="00975714">
        <w:rPr>
          <w:rFonts w:eastAsia="Calibri"/>
          <w:b/>
          <w:u w:val="single"/>
        </w:rPr>
        <w:t>ALEGAÇÕES FINAIS</w:t>
      </w:r>
      <w:r w:rsidR="00EB3A4B" w:rsidRPr="00EB3A4B">
        <w:rPr>
          <w:rFonts w:eastAsia="Calibri"/>
        </w:rPr>
        <w:t xml:space="preserve"> </w:t>
      </w:r>
      <w:r w:rsidR="00975714">
        <w:rPr>
          <w:rFonts w:eastAsia="Calibri"/>
        </w:rPr>
        <w:t>conforme determinado</w:t>
      </w:r>
      <w:r w:rsidR="00EB3A4B">
        <w:rPr>
          <w:rFonts w:eastAsia="Calibri"/>
        </w:rPr>
        <w:t>, pelos fundamentos abaixo.</w:t>
      </w:r>
    </w:p>
    <w:p w14:paraId="5E728F4F" w14:textId="77777777" w:rsidR="00FC1C3C" w:rsidRDefault="00EB3A4B">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 xml:space="preserve">Resumo </w:t>
      </w:r>
      <w:r w:rsidR="006646AF">
        <w:rPr>
          <w:rFonts w:eastAsia="Calibri"/>
          <w:i/>
          <w:color w:val="5B9BD5"/>
        </w:rPr>
        <w:t>Dos Fatos</w:t>
      </w:r>
    </w:p>
    <w:p w14:paraId="6BF0BF7C" w14:textId="77777777" w:rsidR="009C702B" w:rsidRPr="009C702B" w:rsidRDefault="00EA372C" w:rsidP="00EA372C">
      <w:pPr>
        <w:spacing w:line="360" w:lineRule="auto"/>
        <w:ind w:hanging="426"/>
        <w:jc w:val="both"/>
        <w:rPr>
          <w:rFonts w:eastAsia="Calibri"/>
        </w:rPr>
      </w:pPr>
      <w:r>
        <w:rPr>
          <w:rFonts w:eastAsia="Calibri"/>
          <w:noProof/>
        </w:rPr>
        <w:drawing>
          <wp:inline distT="0" distB="0" distL="0" distR="0" wp14:anchorId="38323FD3" wp14:editId="2C37E81F">
            <wp:extent cx="6610350" cy="4552950"/>
            <wp:effectExtent l="38100" t="38100" r="38100" b="381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295F8CD" w14:textId="77777777" w:rsidR="00FC1C3C" w:rsidRDefault="006646A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w:t>
      </w:r>
      <w:r w:rsidR="00EA372C">
        <w:rPr>
          <w:rFonts w:eastAsia="Calibri"/>
          <w:i/>
          <w:color w:val="5B9BD5"/>
        </w:rPr>
        <w:t>a Contestação do ERJ</w:t>
      </w:r>
    </w:p>
    <w:p w14:paraId="4E768EE3" w14:textId="77777777" w:rsidR="00EA372C" w:rsidRPr="00A90B5B" w:rsidRDefault="00EA372C" w:rsidP="00A90B5B">
      <w:pPr>
        <w:jc w:val="both"/>
        <w:rPr>
          <w:rFonts w:eastAsia="Calibri"/>
          <w:sz w:val="14"/>
          <w:szCs w:val="14"/>
        </w:rPr>
      </w:pPr>
    </w:p>
    <w:p w14:paraId="1C22D99A" w14:textId="6C8E46A8" w:rsidR="00F14986" w:rsidRPr="003476B2" w:rsidRDefault="00A90B5B" w:rsidP="00975714">
      <w:pPr>
        <w:spacing w:line="360" w:lineRule="auto"/>
        <w:ind w:firstLine="709"/>
        <w:jc w:val="both"/>
        <w:rPr>
          <w:rFonts w:eastAsia="Calibri"/>
        </w:rPr>
      </w:pPr>
      <w:r>
        <w:rPr>
          <w:rFonts w:eastAsia="Calibri"/>
        </w:rPr>
        <w:t>F</w:t>
      </w:r>
      <w:r w:rsidR="00EA372C">
        <w:rPr>
          <w:rFonts w:eastAsia="Calibri"/>
        </w:rPr>
        <w:t xml:space="preserve">oi apresentada Contestação pelo Estado do Rio de Janeiro </w:t>
      </w:r>
      <w:r w:rsidR="00975714">
        <w:rPr>
          <w:rFonts w:eastAsia="Calibri"/>
        </w:rPr>
        <w:t xml:space="preserve">o qual tentou demonstrar sem apresentar provas, de que estaria cumprindo o Piso, ignorando a existência das Leis Nacional e Estadual que </w:t>
      </w:r>
      <w:r w:rsidR="004119F2">
        <w:rPr>
          <w:rFonts w:eastAsia="Calibri"/>
        </w:rPr>
        <w:t>se encontram</w:t>
      </w:r>
      <w:r w:rsidR="00975714">
        <w:rPr>
          <w:rFonts w:eastAsia="Calibri"/>
        </w:rPr>
        <w:t xml:space="preserve"> em vigor.</w:t>
      </w:r>
    </w:p>
    <w:p w14:paraId="00029F1F" w14:textId="77777777" w:rsidR="00F14986" w:rsidRDefault="00F14986" w:rsidP="00A90B5B">
      <w:pPr>
        <w:ind w:firstLine="709"/>
        <w:jc w:val="both"/>
        <w:rPr>
          <w:rFonts w:eastAsia="Calibri"/>
        </w:rPr>
      </w:pPr>
    </w:p>
    <w:p w14:paraId="7F9F283F" w14:textId="0F7F755C" w:rsidR="00F14986" w:rsidRDefault="00F14986" w:rsidP="00F14986">
      <w:pPr>
        <w:spacing w:line="360" w:lineRule="auto"/>
        <w:ind w:firstLine="709"/>
        <w:jc w:val="both"/>
        <w:rPr>
          <w:rFonts w:eastAsia="Calibri"/>
        </w:rPr>
      </w:pPr>
      <w:r>
        <w:rPr>
          <w:rFonts w:eastAsia="Calibri"/>
        </w:rPr>
        <w:t xml:space="preserve">Em resumo, o Estado tenta fugir de suas obrigações legais, tenta responsabilizar a todos menos a si mesmo e não traz qualquer prova de sua defesa aos autos. Os pontos de </w:t>
      </w:r>
      <w:r w:rsidR="00975714">
        <w:rPr>
          <w:rFonts w:eastAsia="Calibri"/>
        </w:rPr>
        <w:t xml:space="preserve">foram </w:t>
      </w:r>
      <w:r>
        <w:rPr>
          <w:rFonts w:eastAsia="Calibri"/>
        </w:rPr>
        <w:t xml:space="preserve">individualmente combatidos </w:t>
      </w:r>
      <w:r w:rsidR="00975714">
        <w:rPr>
          <w:rFonts w:eastAsia="Calibri"/>
        </w:rPr>
        <w:t xml:space="preserve">em Réplica ID </w:t>
      </w:r>
      <w:r w:rsidR="00975714" w:rsidRPr="00975714">
        <w:rPr>
          <w:rFonts w:eastAsia="Calibri"/>
        </w:rPr>
        <w:t>51861902</w:t>
      </w:r>
      <w:r>
        <w:rPr>
          <w:rFonts w:eastAsia="Calibri"/>
        </w:rPr>
        <w:t>.</w:t>
      </w:r>
    </w:p>
    <w:p w14:paraId="17D7FDBD" w14:textId="77777777" w:rsidR="00F14986" w:rsidRDefault="00F14986" w:rsidP="00F14986">
      <w:pPr>
        <w:jc w:val="center"/>
        <w:rPr>
          <w:b/>
          <w:smallCaps/>
          <w:color w:val="5B9BD5"/>
          <w:u w:val="single"/>
        </w:rPr>
      </w:pPr>
    </w:p>
    <w:p w14:paraId="74A67FBA" w14:textId="27C5F5E2" w:rsidR="00F14986" w:rsidRDefault="00F14986" w:rsidP="00F14986">
      <w:pPr>
        <w:jc w:val="center"/>
        <w:rPr>
          <w:b/>
          <w:smallCaps/>
          <w:color w:val="5B9BD5"/>
          <w:u w:val="single"/>
        </w:rPr>
      </w:pPr>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p>
    <w:p w14:paraId="327EEB79" w14:textId="77777777" w:rsidR="00F14986" w:rsidRDefault="00F14986" w:rsidP="00F14986">
      <w:pPr>
        <w:ind w:firstLine="709"/>
        <w:jc w:val="both"/>
        <w:rPr>
          <w:rFonts w:eastAsia="Calibri"/>
        </w:rPr>
      </w:pPr>
    </w:p>
    <w:p w14:paraId="4A1C3FD2" w14:textId="77777777" w:rsidR="00F14986" w:rsidRDefault="00F14986" w:rsidP="00F14986">
      <w:pPr>
        <w:spacing w:line="360" w:lineRule="auto"/>
        <w:ind w:firstLine="709"/>
        <w:jc w:val="both"/>
        <w:rPr>
          <w:rFonts w:eastAsia="Calibri"/>
        </w:rPr>
      </w:pPr>
      <w:r>
        <w:rPr>
          <w:rFonts w:eastAsia="Calibri"/>
        </w:rPr>
        <w:t xml:space="preserve">Em um argumento completamente em oposição ao que a Lei determina, também não merece prosperar a alegação do ERJ de que a Autora não pode propor ação individual referente </w:t>
      </w:r>
      <w:proofErr w:type="spellStart"/>
      <w:r>
        <w:rPr>
          <w:rFonts w:eastAsia="Calibri"/>
        </w:rPr>
        <w:t>a</w:t>
      </w:r>
      <w:proofErr w:type="spellEnd"/>
      <w:r>
        <w:rPr>
          <w:rFonts w:eastAsia="Calibri"/>
        </w:rPr>
        <w:t xml:space="preserve"> mesmo tema que 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38C94457" w14:textId="77777777" w:rsidR="00F14986" w:rsidRPr="004838FA" w:rsidRDefault="00F14986" w:rsidP="00F14986">
      <w:pPr>
        <w:jc w:val="both"/>
        <w:rPr>
          <w:rFonts w:eastAsia="Calibri"/>
          <w:sz w:val="18"/>
        </w:rPr>
      </w:pPr>
    </w:p>
    <w:p w14:paraId="1C4F8A69" w14:textId="77777777" w:rsidR="00F14986" w:rsidRPr="00F5411B" w:rsidRDefault="00F14986" w:rsidP="00F14986">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w:t>
      </w:r>
      <w:proofErr w:type="gramStart"/>
      <w:r w:rsidRPr="00F5411B">
        <w:rPr>
          <w:rFonts w:eastAsia="Calibri"/>
          <w:sz w:val="20"/>
        </w:rPr>
        <w:t xml:space="preserve">os efeitos da coisa julgada </w:t>
      </w:r>
      <w:r w:rsidRPr="00F5411B">
        <w:rPr>
          <w:rFonts w:eastAsia="Calibri"/>
          <w:i/>
          <w:sz w:val="20"/>
        </w:rPr>
        <w:t>erga</w:t>
      </w:r>
      <w:proofErr w:type="gramEnd"/>
      <w:r w:rsidRPr="00F5411B">
        <w:rPr>
          <w:rFonts w:eastAsia="Calibri"/>
          <w:i/>
          <w:sz w:val="20"/>
        </w:rPr>
        <w:t xml:space="preserve">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327D9897" w14:textId="77777777" w:rsidR="00F14986" w:rsidRDefault="00F14986" w:rsidP="00F14986">
      <w:pPr>
        <w:ind w:firstLine="709"/>
        <w:jc w:val="both"/>
        <w:rPr>
          <w:rFonts w:eastAsia="Calibri"/>
        </w:rPr>
      </w:pPr>
    </w:p>
    <w:p w14:paraId="1753A669" w14:textId="77777777" w:rsidR="00F14986" w:rsidRDefault="00F14986" w:rsidP="00F14986">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F23BD8B" w14:textId="77777777" w:rsidR="00F14986" w:rsidRDefault="00F14986" w:rsidP="00F14986">
      <w:pPr>
        <w:jc w:val="both"/>
        <w:rPr>
          <w:rFonts w:eastAsia="Calibri"/>
        </w:rPr>
      </w:pPr>
    </w:p>
    <w:p w14:paraId="192B6E91" w14:textId="77777777" w:rsidR="00F14986" w:rsidRPr="00F5411B" w:rsidRDefault="00F14986" w:rsidP="00F14986">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w:t>
      </w:r>
      <w:r w:rsidRPr="00F5411B">
        <w:rPr>
          <w:rFonts w:eastAsia="Calibri"/>
          <w:sz w:val="20"/>
        </w:rPr>
        <w:lastRenderedPageBreak/>
        <w:t xml:space="preserve">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323D67E6" w14:textId="77777777" w:rsidR="00F14986" w:rsidRPr="00F5411B" w:rsidRDefault="00F14986" w:rsidP="00F14986">
      <w:pPr>
        <w:ind w:firstLine="709"/>
        <w:jc w:val="both"/>
        <w:rPr>
          <w:rFonts w:eastAsia="Calibri"/>
        </w:rPr>
      </w:pPr>
    </w:p>
    <w:p w14:paraId="78C7B75F" w14:textId="77777777" w:rsidR="00F14986" w:rsidRDefault="00F14986" w:rsidP="00F14986">
      <w:pPr>
        <w:spacing w:line="360" w:lineRule="auto"/>
        <w:ind w:firstLine="709"/>
        <w:jc w:val="both"/>
        <w:rPr>
          <w:rFonts w:eastAsia="Calibri"/>
        </w:rPr>
      </w:pPr>
      <w:r>
        <w:rPr>
          <w:rFonts w:eastAsia="Calibri"/>
        </w:rPr>
        <w:t>Conforme o exposto, não merece prosperar a alegação da parte Ré.</w:t>
      </w:r>
    </w:p>
    <w:p w14:paraId="20D2A908" w14:textId="77777777" w:rsidR="00F14986" w:rsidRPr="00971775" w:rsidRDefault="00F14986" w:rsidP="00F14986">
      <w:pPr>
        <w:ind w:firstLine="709"/>
        <w:jc w:val="both"/>
        <w:rPr>
          <w:rFonts w:eastAsia="Calibri"/>
          <w:sz w:val="16"/>
        </w:rPr>
      </w:pPr>
    </w:p>
    <w:p w14:paraId="4CAB5293" w14:textId="77135B8B" w:rsidR="00F14986" w:rsidRDefault="00F14986" w:rsidP="00F14986">
      <w:pPr>
        <w:jc w:val="center"/>
        <w:rPr>
          <w:b/>
          <w:smallCaps/>
          <w:color w:val="5B9BD5"/>
          <w:u w:val="single"/>
        </w:rPr>
      </w:pPr>
      <w:r>
        <w:rPr>
          <w:b/>
          <w:smallCaps/>
          <w:color w:val="5B9BD5"/>
          <w:u w:val="single"/>
        </w:rPr>
        <w:t xml:space="preserve">Da </w:t>
      </w:r>
      <w:r w:rsidRPr="004C7CF9">
        <w:rPr>
          <w:b/>
          <w:smallCaps/>
          <w:color w:val="5B9BD5"/>
          <w:u w:val="single"/>
        </w:rPr>
        <w:t>ilegitimidade da União</w:t>
      </w:r>
    </w:p>
    <w:p w14:paraId="638BB3DB" w14:textId="77777777" w:rsidR="00F14986" w:rsidRDefault="00F14986" w:rsidP="00F14986">
      <w:pPr>
        <w:ind w:firstLine="709"/>
        <w:jc w:val="both"/>
        <w:rPr>
          <w:rFonts w:eastAsia="Calibri"/>
        </w:rPr>
      </w:pPr>
    </w:p>
    <w:p w14:paraId="017FCC54" w14:textId="77777777" w:rsidR="00F14986" w:rsidRDefault="00F14986" w:rsidP="00F14986">
      <w:pPr>
        <w:spacing w:line="360" w:lineRule="auto"/>
        <w:ind w:firstLine="709"/>
        <w:jc w:val="both"/>
        <w:rPr>
          <w:rFonts w:eastAsia="Calibri"/>
        </w:rPr>
      </w:pPr>
      <w:r>
        <w:rPr>
          <w:rFonts w:eastAsia="Calibri"/>
        </w:rPr>
        <w:t>Em mais uma tentativa frustrada a Ré apresenta argumento em caminho diverso de questão já pacificada pelo Superior Tribunal de Justiça – STJ. O</w:t>
      </w:r>
      <w:r w:rsidRPr="00971775">
        <w:rPr>
          <w:rFonts w:eastAsia="Calibri"/>
        </w:rPr>
        <w:t xml:space="preserve"> entendimento firmado pelo STJ, através do </w:t>
      </w:r>
      <w:r w:rsidRPr="00971775">
        <w:rPr>
          <w:rFonts w:eastAsia="Calibri"/>
          <w:b/>
          <w:u w:val="single"/>
        </w:rPr>
        <w:t>Tema Repetitivo 592</w:t>
      </w:r>
      <w:r w:rsidRPr="00971775">
        <w:rPr>
          <w:rFonts w:eastAsia="Calibri"/>
        </w:rPr>
        <w:t>, é no sentido da ilegitimidade da União para as ações relativas ao</w:t>
      </w:r>
      <w:r>
        <w:rPr>
          <w:rFonts w:eastAsia="Calibri"/>
        </w:rPr>
        <w:t xml:space="preserve"> </w:t>
      </w:r>
      <w:r w:rsidRPr="00971775">
        <w:rPr>
          <w:rFonts w:eastAsia="Calibri"/>
        </w:rPr>
        <w:t>pagamento do piso salarial nacional para os profissionais do magistério público da</w:t>
      </w:r>
      <w:r>
        <w:rPr>
          <w:rFonts w:eastAsia="Calibri"/>
        </w:rPr>
        <w:t xml:space="preserve"> </w:t>
      </w:r>
      <w:r w:rsidRPr="00971775">
        <w:rPr>
          <w:rFonts w:eastAsia="Calibri"/>
        </w:rPr>
        <w:t>educação básica, nos termos da Lei 11.738/2008</w:t>
      </w:r>
      <w:r>
        <w:rPr>
          <w:rFonts w:eastAsia="Calibri"/>
        </w:rPr>
        <w:t>.</w:t>
      </w:r>
    </w:p>
    <w:p w14:paraId="1ECE57FB" w14:textId="77777777" w:rsidR="00F14986" w:rsidRPr="004838FA" w:rsidRDefault="00F14986" w:rsidP="00F14986">
      <w:pPr>
        <w:ind w:firstLine="709"/>
        <w:jc w:val="both"/>
        <w:rPr>
          <w:rFonts w:eastAsia="Calibri"/>
          <w:sz w:val="18"/>
        </w:rPr>
      </w:pPr>
    </w:p>
    <w:p w14:paraId="6D120B21" w14:textId="77777777" w:rsidR="00F14986" w:rsidRDefault="00F14986" w:rsidP="00F14986">
      <w:pPr>
        <w:spacing w:line="360" w:lineRule="auto"/>
        <w:ind w:firstLine="709"/>
        <w:jc w:val="both"/>
        <w:rPr>
          <w:rFonts w:eastAsia="Calibri"/>
        </w:rPr>
      </w:pPr>
      <w:r>
        <w:rPr>
          <w:rFonts w:eastAsia="Calibri"/>
        </w:rPr>
        <w:t>Ou seja, as preliminares apresentadas pelo ERJ não merecem prosperar, devendo serem completamente ultrapassadas.</w:t>
      </w:r>
    </w:p>
    <w:p w14:paraId="6841D940" w14:textId="77777777" w:rsidR="00F14986" w:rsidRPr="004838FA" w:rsidRDefault="00F14986" w:rsidP="00F14986">
      <w:pPr>
        <w:ind w:firstLine="709"/>
        <w:jc w:val="both"/>
        <w:rPr>
          <w:rFonts w:eastAsia="Calibri"/>
          <w:sz w:val="16"/>
        </w:rPr>
      </w:pPr>
    </w:p>
    <w:p w14:paraId="41384FD4" w14:textId="31E3C354" w:rsidR="00F14986" w:rsidRDefault="00F14986" w:rsidP="00F14986">
      <w:pPr>
        <w:jc w:val="center"/>
        <w:rPr>
          <w:b/>
          <w:smallCaps/>
          <w:color w:val="5B9BD5"/>
          <w:u w:val="single"/>
        </w:rPr>
      </w:pPr>
      <w:r>
        <w:rPr>
          <w:b/>
          <w:smallCaps/>
          <w:color w:val="5B9BD5"/>
          <w:u w:val="single"/>
        </w:rPr>
        <w:t>Do descumprimento do piso nacional</w:t>
      </w:r>
    </w:p>
    <w:p w14:paraId="285B6137" w14:textId="77777777" w:rsidR="00F14986" w:rsidRDefault="00F14986" w:rsidP="00F14986">
      <w:pPr>
        <w:ind w:firstLine="709"/>
        <w:jc w:val="both"/>
        <w:rPr>
          <w:rFonts w:eastAsia="Calibri"/>
        </w:rPr>
      </w:pPr>
    </w:p>
    <w:p w14:paraId="54AD55B8" w14:textId="77777777" w:rsidR="00F14986" w:rsidRDefault="00F14986" w:rsidP="00F14986">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w:t>
      </w:r>
    </w:p>
    <w:p w14:paraId="18BE4C69" w14:textId="77777777" w:rsidR="00F14986" w:rsidRDefault="00F14986" w:rsidP="00F14986">
      <w:pPr>
        <w:ind w:firstLine="709"/>
        <w:jc w:val="both"/>
        <w:rPr>
          <w:rFonts w:eastAsia="Calibri"/>
        </w:rPr>
      </w:pPr>
    </w:p>
    <w:p w14:paraId="57862672" w14:textId="77777777" w:rsidR="00F14986" w:rsidRDefault="00F14986" w:rsidP="00F14986">
      <w:pPr>
        <w:spacing w:line="360" w:lineRule="auto"/>
        <w:ind w:firstLine="709"/>
        <w:jc w:val="both"/>
        <w:rPr>
          <w:rFonts w:eastAsia="Calibri"/>
        </w:rPr>
      </w:pPr>
      <w:r>
        <w:rPr>
          <w:rFonts w:eastAsia="Calibri"/>
        </w:rPr>
        <w:lastRenderedPageBreak/>
        <w:t>Destaca-se inicialmente que resta incontroverso que o Piso Nacional deve ser respeitado, assim como a Lei 11.738/2008, informando os seguintes valores atualizados pelo Ministério da Educação:</w:t>
      </w:r>
    </w:p>
    <w:p w14:paraId="5BC8EDB2" w14:textId="77777777" w:rsidR="00EF0E71" w:rsidRPr="00B47515" w:rsidRDefault="00EF0E71" w:rsidP="00EF0E71">
      <w:pPr>
        <w:pStyle w:val="ListParagraph"/>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Pr>
          <w:rFonts w:ascii="Garamond" w:hAnsi="Garamond"/>
          <w:sz w:val="22"/>
          <w:szCs w:val="22"/>
        </w:rPr>
        <w:t xml:space="preserve">1) </w:t>
      </w:r>
      <w:r w:rsidRPr="00B47515">
        <w:rPr>
          <w:rFonts w:ascii="Garamond" w:hAnsi="Garamond"/>
          <w:sz w:val="22"/>
          <w:szCs w:val="22"/>
        </w:rPr>
        <w:t xml:space="preserve">janeiro de </w:t>
      </w:r>
      <w:r w:rsidRPr="00B47515">
        <w:rPr>
          <w:rFonts w:ascii="Garamond" w:hAnsi="Garamond"/>
          <w:b/>
          <w:sz w:val="22"/>
          <w:szCs w:val="22"/>
          <w:u w:val="single"/>
        </w:rPr>
        <w:t>2019</w:t>
      </w:r>
      <w:r w:rsidRPr="00B47515">
        <w:rPr>
          <w:rFonts w:ascii="Garamond" w:hAnsi="Garamond"/>
          <w:sz w:val="22"/>
          <w:szCs w:val="22"/>
        </w:rPr>
        <w:t>: R$ 2.557,74</w:t>
      </w:r>
      <w:r>
        <w:rPr>
          <w:rFonts w:ascii="Garamond" w:hAnsi="Garamond"/>
          <w:sz w:val="22"/>
          <w:szCs w:val="22"/>
        </w:rPr>
        <w:t xml:space="preserve"> -&gt; </w:t>
      </w:r>
      <w:hyperlink r:id="rId14" w:history="1">
        <w:r w:rsidRPr="00052D01">
          <w:rPr>
            <w:rStyle w:val="Hyperlink"/>
            <w:rFonts w:ascii="Garamond" w:hAnsi="Garamond"/>
            <w:sz w:val="22"/>
            <w:szCs w:val="22"/>
          </w:rPr>
          <w:t>Link</w:t>
        </w:r>
      </w:hyperlink>
    </w:p>
    <w:p w14:paraId="4653B4C8"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44B44CF"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2) janeiro de </w:t>
      </w:r>
      <w:r w:rsidRPr="00B47515">
        <w:rPr>
          <w:rFonts w:ascii="Garamond" w:hAnsi="Garamond"/>
          <w:b/>
          <w:sz w:val="22"/>
          <w:szCs w:val="22"/>
          <w:u w:val="single"/>
        </w:rPr>
        <w:t>2020</w:t>
      </w:r>
      <w:r w:rsidRPr="00B47515">
        <w:rPr>
          <w:rFonts w:ascii="Garamond" w:hAnsi="Garamond"/>
          <w:sz w:val="22"/>
          <w:szCs w:val="22"/>
        </w:rPr>
        <w:t>: R$ 2.886,24</w:t>
      </w:r>
      <w:r>
        <w:rPr>
          <w:rFonts w:ascii="Garamond" w:hAnsi="Garamond"/>
          <w:sz w:val="22"/>
          <w:szCs w:val="22"/>
        </w:rPr>
        <w:t xml:space="preserve"> -&gt; </w:t>
      </w:r>
      <w:hyperlink r:id="rId15" w:history="1">
        <w:r w:rsidRPr="00052D01">
          <w:rPr>
            <w:rStyle w:val="Hyperlink"/>
            <w:rFonts w:ascii="Garamond" w:hAnsi="Garamond"/>
            <w:sz w:val="22"/>
            <w:szCs w:val="22"/>
          </w:rPr>
          <w:t>Link</w:t>
        </w:r>
      </w:hyperlink>
    </w:p>
    <w:p w14:paraId="269B7F1C"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36681AB5"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3) janeiro de </w:t>
      </w:r>
      <w:r w:rsidRPr="00B47515">
        <w:rPr>
          <w:rFonts w:ascii="Garamond" w:hAnsi="Garamond"/>
          <w:b/>
          <w:sz w:val="22"/>
          <w:szCs w:val="22"/>
          <w:u w:val="single"/>
        </w:rPr>
        <w:t>2021</w:t>
      </w:r>
      <w:r w:rsidRPr="00B47515">
        <w:rPr>
          <w:rFonts w:ascii="Garamond" w:hAnsi="Garamond"/>
          <w:sz w:val="22"/>
          <w:szCs w:val="22"/>
        </w:rPr>
        <w:t>: R$ 2886,24 (não houve atualização)</w:t>
      </w:r>
    </w:p>
    <w:p w14:paraId="52D55ACF"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5E0994DC"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4) janeiro de </w:t>
      </w:r>
      <w:r w:rsidRPr="00B47515">
        <w:rPr>
          <w:rFonts w:ascii="Garamond" w:hAnsi="Garamond"/>
          <w:b/>
          <w:sz w:val="22"/>
          <w:szCs w:val="22"/>
          <w:u w:val="single"/>
        </w:rPr>
        <w:t>2022</w:t>
      </w:r>
      <w:r w:rsidRPr="00B47515">
        <w:rPr>
          <w:rFonts w:ascii="Garamond" w:hAnsi="Garamond"/>
          <w:sz w:val="22"/>
          <w:szCs w:val="22"/>
        </w:rPr>
        <w:t>: R$ 3.845,63</w:t>
      </w:r>
      <w:r>
        <w:rPr>
          <w:rFonts w:ascii="Garamond" w:hAnsi="Garamond"/>
          <w:sz w:val="22"/>
          <w:szCs w:val="22"/>
        </w:rPr>
        <w:t xml:space="preserve"> -&gt; </w:t>
      </w:r>
      <w:hyperlink r:id="rId16" w:history="1">
        <w:r w:rsidRPr="00052D01">
          <w:rPr>
            <w:rStyle w:val="Hyperlink"/>
            <w:rFonts w:ascii="Garamond" w:hAnsi="Garamond"/>
            <w:sz w:val="22"/>
            <w:szCs w:val="22"/>
          </w:rPr>
          <w:t>Link</w:t>
        </w:r>
      </w:hyperlink>
    </w:p>
    <w:p w14:paraId="30A097B6"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BE8E827"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5) janeiro de </w:t>
      </w:r>
      <w:r w:rsidRPr="00B47515">
        <w:rPr>
          <w:rFonts w:ascii="Garamond" w:hAnsi="Garamond"/>
          <w:b/>
          <w:sz w:val="22"/>
          <w:szCs w:val="22"/>
          <w:u w:val="single"/>
        </w:rPr>
        <w:t>2023</w:t>
      </w:r>
      <w:r w:rsidRPr="00B47515">
        <w:rPr>
          <w:rFonts w:ascii="Garamond" w:hAnsi="Garamond"/>
          <w:sz w:val="22"/>
          <w:szCs w:val="22"/>
        </w:rPr>
        <w:t>: R$ 4.420,55</w:t>
      </w:r>
      <w:r>
        <w:rPr>
          <w:rFonts w:ascii="Garamond" w:hAnsi="Garamond"/>
          <w:sz w:val="22"/>
          <w:szCs w:val="22"/>
        </w:rPr>
        <w:t xml:space="preserve"> -&gt; </w:t>
      </w:r>
      <w:hyperlink r:id="rId17" w:anchor=":~:text=Nesta%20ter%C3%A7a%2Dfeira%20(17),para%20R%24%204.420%2C55" w:history="1">
        <w:r w:rsidRPr="00052D01">
          <w:rPr>
            <w:rStyle w:val="Hyperlink"/>
            <w:rFonts w:ascii="Garamond" w:hAnsi="Garamond"/>
            <w:sz w:val="22"/>
            <w:szCs w:val="22"/>
          </w:rPr>
          <w:t>Link</w:t>
        </w:r>
      </w:hyperlink>
    </w:p>
    <w:p w14:paraId="511EDB23"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27C9A5AF" w14:textId="77777777" w:rsidR="00EF0E71" w:rsidRPr="00B47515" w:rsidRDefault="00EF0E71" w:rsidP="00EF0E71">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6) janeiro de </w:t>
      </w:r>
      <w:r w:rsidRPr="00B47515">
        <w:rPr>
          <w:rFonts w:ascii="Garamond" w:hAnsi="Garamond"/>
          <w:b/>
          <w:bCs/>
          <w:sz w:val="22"/>
          <w:szCs w:val="22"/>
          <w:u w:val="single"/>
        </w:rPr>
        <w:t>2024</w:t>
      </w:r>
      <w:r w:rsidRPr="00B47515">
        <w:rPr>
          <w:rFonts w:ascii="Garamond" w:hAnsi="Garamond"/>
          <w:sz w:val="22"/>
          <w:szCs w:val="22"/>
        </w:rPr>
        <w:t>: R$ 4.580,57</w:t>
      </w:r>
      <w:r>
        <w:rPr>
          <w:rFonts w:ascii="Garamond" w:hAnsi="Garamond"/>
          <w:sz w:val="22"/>
          <w:szCs w:val="22"/>
        </w:rPr>
        <w:t xml:space="preserve"> -&gt; Link</w:t>
      </w:r>
    </w:p>
    <w:p w14:paraId="7DE5E77D" w14:textId="77777777" w:rsidR="00EF0E71" w:rsidRPr="005659E8" w:rsidRDefault="00EF0E71" w:rsidP="00EF0E71">
      <w:pPr>
        <w:jc w:val="both"/>
        <w:rPr>
          <w:rFonts w:ascii="Garamond" w:hAnsi="Garamond"/>
          <w:sz w:val="16"/>
          <w:szCs w:val="16"/>
        </w:rPr>
      </w:pPr>
    </w:p>
    <w:p w14:paraId="0169EB91" w14:textId="77777777" w:rsidR="00666F4B" w:rsidRPr="005659E8" w:rsidRDefault="00666F4B" w:rsidP="00666F4B">
      <w:pPr>
        <w:spacing w:line="360" w:lineRule="auto"/>
        <w:ind w:firstLine="709"/>
        <w:jc w:val="both"/>
        <w:rPr>
          <w:rFonts w:ascii="Garamond" w:eastAsia="Calibri" w:hAnsi="Garamond"/>
          <w:sz w:val="23"/>
          <w:szCs w:val="23"/>
        </w:rPr>
      </w:pPr>
      <w:r w:rsidRPr="00321D87">
        <w:rPr>
          <w:rFonts w:ascii="Garamond" w:eastAsia="Calibri" w:hAnsi="Garamond"/>
          <w:sz w:val="23"/>
          <w:szCs w:val="23"/>
        </w:rPr>
        <w:t xml:space="preserve">Assim, é um fato de que os valores acima são referentes ao piso salarial para 40h semanais, não podendo qualquer outro ente federativo pagar salário abaixo desses valores, a serem calculados em proporção quando se tratar de 16h, 22h, 25h, </w:t>
      </w:r>
      <w:proofErr w:type="gramStart"/>
      <w:r w:rsidRPr="00321D87">
        <w:rPr>
          <w:rFonts w:ascii="Garamond" w:eastAsia="Calibri" w:hAnsi="Garamond"/>
          <w:sz w:val="23"/>
          <w:szCs w:val="23"/>
        </w:rPr>
        <w:t>30h, etc.</w:t>
      </w:r>
      <w:proofErr w:type="gramEnd"/>
      <w:r w:rsidRPr="00321D87">
        <w:rPr>
          <w:rFonts w:ascii="Garamond" w:eastAsia="Calibri" w:hAnsi="Garamond"/>
          <w:sz w:val="23"/>
          <w:szCs w:val="23"/>
        </w:rPr>
        <w:t>, temos, portanto, a seguinte proporcionalidade:</w:t>
      </w:r>
    </w:p>
    <w:p w14:paraId="577EBE3E" w14:textId="77777777" w:rsidR="00666F4B" w:rsidRPr="00321D87" w:rsidRDefault="00666F4B" w:rsidP="00666F4B">
      <w:pPr>
        <w:spacing w:line="360" w:lineRule="auto"/>
        <w:ind w:firstLine="709"/>
        <w:jc w:val="both"/>
        <w:rPr>
          <w:rFonts w:ascii="Garamond" w:eastAsia="Calibri" w:hAnsi="Garamond"/>
          <w:sz w:val="10"/>
          <w:szCs w:val="23"/>
        </w:rPr>
      </w:pPr>
    </w:p>
    <w:tbl>
      <w:tblPr>
        <w:tblStyle w:val="a"/>
        <w:tblpPr w:leftFromText="180" w:rightFromText="180" w:vertAnchor="text" w:tblpX="-289" w:tblpY="1"/>
        <w:tblOverlap w:val="never"/>
        <w:tblW w:w="10139" w:type="dxa"/>
        <w:tblInd w:w="0" w:type="dxa"/>
        <w:tblLayout w:type="fixed"/>
        <w:tblLook w:val="0400" w:firstRow="0" w:lastRow="0" w:firstColumn="0" w:lastColumn="0" w:noHBand="0" w:noVBand="1"/>
      </w:tblPr>
      <w:tblGrid>
        <w:gridCol w:w="1696"/>
        <w:gridCol w:w="3624"/>
        <w:gridCol w:w="1417"/>
        <w:gridCol w:w="3402"/>
      </w:tblGrid>
      <w:tr w:rsidR="00666F4B" w:rsidRPr="00321D87" w14:paraId="52FFA0B8" w14:textId="77777777" w:rsidTr="00DE5E0A">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3455281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16h</w:t>
            </w:r>
          </w:p>
        </w:tc>
        <w:tc>
          <w:tcPr>
            <w:tcW w:w="3624" w:type="dxa"/>
            <w:tcBorders>
              <w:top w:val="single" w:sz="4" w:space="0" w:color="000000"/>
              <w:left w:val="nil"/>
              <w:bottom w:val="single" w:sz="4" w:space="0" w:color="000000"/>
              <w:right w:val="single" w:sz="4" w:space="0" w:color="000000"/>
            </w:tcBorders>
            <w:shd w:val="clear" w:color="auto" w:fill="5B9BD5"/>
            <w:vAlign w:val="center"/>
          </w:tcPr>
          <w:p w14:paraId="41EF407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16h = 40% do valor de 40h</w:t>
            </w:r>
          </w:p>
        </w:tc>
        <w:tc>
          <w:tcPr>
            <w:tcW w:w="1417" w:type="dxa"/>
            <w:tcBorders>
              <w:top w:val="single" w:sz="4" w:space="0" w:color="000000"/>
              <w:left w:val="nil"/>
              <w:bottom w:val="single" w:sz="4" w:space="0" w:color="000000"/>
              <w:right w:val="single" w:sz="4" w:space="0" w:color="000000"/>
            </w:tcBorders>
            <w:shd w:val="clear" w:color="auto" w:fill="FFC000"/>
            <w:vAlign w:val="center"/>
          </w:tcPr>
          <w:p w14:paraId="1287D2D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b/>
                <w:bCs/>
                <w:color w:val="000000"/>
                <w:sz w:val="20"/>
                <w:szCs w:val="20"/>
              </w:rPr>
              <w:t>18h</w:t>
            </w:r>
          </w:p>
        </w:tc>
        <w:tc>
          <w:tcPr>
            <w:tcW w:w="3402" w:type="dxa"/>
            <w:tcBorders>
              <w:top w:val="single" w:sz="4" w:space="0" w:color="000000"/>
              <w:left w:val="nil"/>
              <w:bottom w:val="single" w:sz="4" w:space="0" w:color="000000"/>
              <w:right w:val="single" w:sz="4" w:space="0" w:color="000000"/>
            </w:tcBorders>
            <w:shd w:val="clear" w:color="auto" w:fill="FFC000"/>
            <w:vAlign w:val="center"/>
          </w:tcPr>
          <w:p w14:paraId="7FB161B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18h = valor de 40h dividido por 40 e multiplicado por 18</w:t>
            </w:r>
          </w:p>
        </w:tc>
      </w:tr>
      <w:tr w:rsidR="00666F4B" w:rsidRPr="00321D87" w14:paraId="68B13E8D"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3C5A5D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tcPr>
          <w:p w14:paraId="4078BBC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R$ 1.832,23</w:t>
            </w:r>
          </w:p>
        </w:tc>
        <w:tc>
          <w:tcPr>
            <w:tcW w:w="1417" w:type="dxa"/>
            <w:tcBorders>
              <w:top w:val="nil"/>
              <w:left w:val="nil"/>
              <w:bottom w:val="single" w:sz="4" w:space="0" w:color="000000"/>
              <w:right w:val="single" w:sz="4" w:space="0" w:color="000000"/>
            </w:tcBorders>
            <w:vAlign w:val="center"/>
          </w:tcPr>
          <w:p w14:paraId="72C9308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2B57F726"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R$ 2.061,26</w:t>
            </w:r>
          </w:p>
        </w:tc>
      </w:tr>
      <w:tr w:rsidR="00666F4B" w:rsidRPr="00321D87" w14:paraId="45A3B7C1"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2B98794"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tcPr>
          <w:p w14:paraId="5293293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R$ 2.052,10</w:t>
            </w:r>
          </w:p>
        </w:tc>
        <w:tc>
          <w:tcPr>
            <w:tcW w:w="1417" w:type="dxa"/>
            <w:tcBorders>
              <w:top w:val="nil"/>
              <w:left w:val="nil"/>
              <w:bottom w:val="single" w:sz="4" w:space="0" w:color="000000"/>
              <w:right w:val="single" w:sz="4" w:space="0" w:color="000000"/>
            </w:tcBorders>
            <w:vAlign w:val="center"/>
          </w:tcPr>
          <w:p w14:paraId="72A1AEF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3FC3626D"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R$ 2.308,61</w:t>
            </w:r>
          </w:p>
        </w:tc>
      </w:tr>
      <w:tr w:rsidR="00666F4B" w:rsidRPr="00321D87" w14:paraId="39C603C6"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4CD3DE2"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tcPr>
          <w:p w14:paraId="40CBC79D"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R$ 2.298,35</w:t>
            </w:r>
          </w:p>
        </w:tc>
        <w:tc>
          <w:tcPr>
            <w:tcW w:w="1417" w:type="dxa"/>
            <w:tcBorders>
              <w:top w:val="nil"/>
              <w:left w:val="nil"/>
              <w:bottom w:val="single" w:sz="4" w:space="0" w:color="000000"/>
              <w:right w:val="single" w:sz="4" w:space="0" w:color="000000"/>
            </w:tcBorders>
            <w:vAlign w:val="center"/>
          </w:tcPr>
          <w:p w14:paraId="64B5BAE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2AD1480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R$ 2.585,64</w:t>
            </w:r>
          </w:p>
        </w:tc>
      </w:tr>
      <w:tr w:rsidR="00666F4B" w:rsidRPr="00321D87" w14:paraId="6C302C52"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C8B8FB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tcPr>
          <w:p w14:paraId="1115D9B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R$ 2.574,15</w:t>
            </w:r>
          </w:p>
        </w:tc>
        <w:tc>
          <w:tcPr>
            <w:tcW w:w="1417" w:type="dxa"/>
            <w:tcBorders>
              <w:top w:val="nil"/>
              <w:left w:val="nil"/>
              <w:bottom w:val="single" w:sz="4" w:space="0" w:color="000000"/>
              <w:right w:val="single" w:sz="4" w:space="0" w:color="000000"/>
            </w:tcBorders>
            <w:vAlign w:val="center"/>
          </w:tcPr>
          <w:p w14:paraId="0E4F1B94"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0BE1B02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R$ 2.895,92</w:t>
            </w:r>
          </w:p>
        </w:tc>
      </w:tr>
      <w:tr w:rsidR="00666F4B" w:rsidRPr="00321D87" w14:paraId="3130DE26"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F2149A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tcPr>
          <w:p w14:paraId="0B13CC9D"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R$ 2.883,05</w:t>
            </w:r>
          </w:p>
        </w:tc>
        <w:tc>
          <w:tcPr>
            <w:tcW w:w="1417" w:type="dxa"/>
            <w:tcBorders>
              <w:top w:val="nil"/>
              <w:left w:val="nil"/>
              <w:bottom w:val="single" w:sz="4" w:space="0" w:color="000000"/>
              <w:right w:val="single" w:sz="4" w:space="0" w:color="000000"/>
            </w:tcBorders>
            <w:vAlign w:val="center"/>
          </w:tcPr>
          <w:p w14:paraId="119D4BF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5A77637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R$ 3.243,43</w:t>
            </w:r>
          </w:p>
        </w:tc>
      </w:tr>
      <w:tr w:rsidR="00666F4B" w:rsidRPr="00321D87" w14:paraId="3E688BFF"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AC71792"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tcPr>
          <w:p w14:paraId="02E0059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R$ 3.229,01</w:t>
            </w:r>
          </w:p>
        </w:tc>
        <w:tc>
          <w:tcPr>
            <w:tcW w:w="1417" w:type="dxa"/>
            <w:tcBorders>
              <w:top w:val="nil"/>
              <w:left w:val="nil"/>
              <w:bottom w:val="single" w:sz="4" w:space="0" w:color="000000"/>
              <w:right w:val="single" w:sz="4" w:space="0" w:color="000000"/>
            </w:tcBorders>
            <w:vAlign w:val="center"/>
          </w:tcPr>
          <w:p w14:paraId="6744667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461C154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R$ 3.632,64</w:t>
            </w:r>
          </w:p>
        </w:tc>
      </w:tr>
      <w:tr w:rsidR="00666F4B" w:rsidRPr="00321D87" w14:paraId="558DB0F2"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BCF9B9D"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tcPr>
          <w:p w14:paraId="7691B80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R$ 3.616,49</w:t>
            </w:r>
          </w:p>
        </w:tc>
        <w:tc>
          <w:tcPr>
            <w:tcW w:w="1417" w:type="dxa"/>
            <w:tcBorders>
              <w:top w:val="nil"/>
              <w:left w:val="nil"/>
              <w:bottom w:val="single" w:sz="4" w:space="0" w:color="000000"/>
              <w:right w:val="single" w:sz="4" w:space="0" w:color="000000"/>
            </w:tcBorders>
            <w:vAlign w:val="center"/>
          </w:tcPr>
          <w:p w14:paraId="4F4E47F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092B19E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R$ 4.068,55</w:t>
            </w:r>
          </w:p>
        </w:tc>
      </w:tr>
      <w:tr w:rsidR="00666F4B" w:rsidRPr="00321D87" w14:paraId="0B91F892"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7CA21A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tcPr>
          <w:p w14:paraId="607B1462"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R$ 4.050,47</w:t>
            </w:r>
          </w:p>
        </w:tc>
        <w:tc>
          <w:tcPr>
            <w:tcW w:w="1417" w:type="dxa"/>
            <w:tcBorders>
              <w:top w:val="nil"/>
              <w:left w:val="nil"/>
              <w:bottom w:val="single" w:sz="4" w:space="0" w:color="000000"/>
              <w:right w:val="single" w:sz="4" w:space="0" w:color="000000"/>
            </w:tcBorders>
            <w:vAlign w:val="center"/>
          </w:tcPr>
          <w:p w14:paraId="6CC9DD5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173C9E4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R$ 4.556,78</w:t>
            </w:r>
          </w:p>
        </w:tc>
      </w:tr>
      <w:tr w:rsidR="00666F4B" w:rsidRPr="00321D87" w14:paraId="0674E9F4"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9F9B18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tcPr>
          <w:p w14:paraId="7B1CACF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R$ 4.536,53</w:t>
            </w:r>
          </w:p>
        </w:tc>
        <w:tc>
          <w:tcPr>
            <w:tcW w:w="1417" w:type="dxa"/>
            <w:tcBorders>
              <w:top w:val="nil"/>
              <w:left w:val="nil"/>
              <w:bottom w:val="single" w:sz="4" w:space="0" w:color="000000"/>
              <w:right w:val="single" w:sz="4" w:space="0" w:color="000000"/>
            </w:tcBorders>
            <w:vAlign w:val="center"/>
          </w:tcPr>
          <w:p w14:paraId="16242B44"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049C97B7"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R$ 5.103,60</w:t>
            </w:r>
          </w:p>
        </w:tc>
      </w:tr>
      <w:tr w:rsidR="00666F4B" w:rsidRPr="00321D87" w14:paraId="54CCF910"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70AD47"/>
            <w:vAlign w:val="center"/>
          </w:tcPr>
          <w:p w14:paraId="4E3FD80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22h</w:t>
            </w:r>
          </w:p>
        </w:tc>
        <w:tc>
          <w:tcPr>
            <w:tcW w:w="3624" w:type="dxa"/>
            <w:tcBorders>
              <w:top w:val="nil"/>
              <w:left w:val="nil"/>
              <w:bottom w:val="single" w:sz="4" w:space="0" w:color="000000"/>
              <w:right w:val="single" w:sz="4" w:space="0" w:color="000000"/>
            </w:tcBorders>
            <w:shd w:val="clear" w:color="auto" w:fill="70AD47"/>
            <w:vAlign w:val="center"/>
          </w:tcPr>
          <w:p w14:paraId="024F931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22h = 55% do valor de 40h</w:t>
            </w:r>
          </w:p>
        </w:tc>
        <w:tc>
          <w:tcPr>
            <w:tcW w:w="1417" w:type="dxa"/>
            <w:tcBorders>
              <w:top w:val="nil"/>
              <w:left w:val="nil"/>
              <w:bottom w:val="single" w:sz="4" w:space="0" w:color="000000"/>
              <w:right w:val="single" w:sz="4" w:space="0" w:color="000000"/>
            </w:tcBorders>
            <w:shd w:val="clear" w:color="auto" w:fill="C00000"/>
            <w:vAlign w:val="center"/>
          </w:tcPr>
          <w:p w14:paraId="41C96C5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25h</w:t>
            </w:r>
          </w:p>
        </w:tc>
        <w:tc>
          <w:tcPr>
            <w:tcW w:w="3402" w:type="dxa"/>
            <w:tcBorders>
              <w:top w:val="nil"/>
              <w:left w:val="nil"/>
              <w:bottom w:val="single" w:sz="4" w:space="0" w:color="000000"/>
              <w:right w:val="single" w:sz="4" w:space="0" w:color="000000"/>
            </w:tcBorders>
            <w:shd w:val="clear" w:color="auto" w:fill="C00000"/>
            <w:vAlign w:val="center"/>
          </w:tcPr>
          <w:p w14:paraId="674ECAF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25h = valor de 40h dividido por 40 e multiplicado por 25</w:t>
            </w:r>
          </w:p>
        </w:tc>
      </w:tr>
      <w:tr w:rsidR="00666F4B" w:rsidRPr="00321D87" w14:paraId="4167185C"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67BAF6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62050564"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R$ 2.519,31</w:t>
            </w:r>
          </w:p>
        </w:tc>
        <w:tc>
          <w:tcPr>
            <w:tcW w:w="1417" w:type="dxa"/>
            <w:tcBorders>
              <w:top w:val="nil"/>
              <w:left w:val="nil"/>
              <w:bottom w:val="single" w:sz="4" w:space="0" w:color="000000"/>
              <w:right w:val="single" w:sz="4" w:space="0" w:color="000000"/>
            </w:tcBorders>
            <w:vAlign w:val="center"/>
          </w:tcPr>
          <w:p w14:paraId="75ACBAA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7E814CA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R$ 2.862,86</w:t>
            </w:r>
          </w:p>
        </w:tc>
      </w:tr>
      <w:tr w:rsidR="00666F4B" w:rsidRPr="00321D87" w14:paraId="14892620"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B1E4BF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4455856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R$ 2.821,63</w:t>
            </w:r>
          </w:p>
        </w:tc>
        <w:tc>
          <w:tcPr>
            <w:tcW w:w="1417" w:type="dxa"/>
            <w:tcBorders>
              <w:top w:val="nil"/>
              <w:left w:val="nil"/>
              <w:bottom w:val="single" w:sz="4" w:space="0" w:color="000000"/>
              <w:right w:val="single" w:sz="4" w:space="0" w:color="000000"/>
            </w:tcBorders>
            <w:vAlign w:val="center"/>
          </w:tcPr>
          <w:p w14:paraId="1FEB49C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207A728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R$ 3.206,40</w:t>
            </w:r>
          </w:p>
        </w:tc>
      </w:tr>
      <w:tr w:rsidR="00666F4B" w:rsidRPr="00321D87" w14:paraId="6661254C"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C88551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4536424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R$ 3.160,23</w:t>
            </w:r>
          </w:p>
        </w:tc>
        <w:tc>
          <w:tcPr>
            <w:tcW w:w="1417" w:type="dxa"/>
            <w:tcBorders>
              <w:top w:val="nil"/>
              <w:left w:val="nil"/>
              <w:bottom w:val="single" w:sz="4" w:space="0" w:color="000000"/>
              <w:right w:val="single" w:sz="4" w:space="0" w:color="000000"/>
            </w:tcBorders>
            <w:vAlign w:val="center"/>
          </w:tcPr>
          <w:p w14:paraId="4D998AA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166972AD"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R$ 3.591,17</w:t>
            </w:r>
          </w:p>
        </w:tc>
      </w:tr>
      <w:tr w:rsidR="00666F4B" w:rsidRPr="00321D87" w14:paraId="4FFF8E2A"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7E0B54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4296D7A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R$ 3.539,45</w:t>
            </w:r>
          </w:p>
        </w:tc>
        <w:tc>
          <w:tcPr>
            <w:tcW w:w="1417" w:type="dxa"/>
            <w:tcBorders>
              <w:top w:val="nil"/>
              <w:left w:val="nil"/>
              <w:bottom w:val="single" w:sz="4" w:space="0" w:color="000000"/>
              <w:right w:val="single" w:sz="4" w:space="0" w:color="000000"/>
            </w:tcBorders>
            <w:vAlign w:val="center"/>
          </w:tcPr>
          <w:p w14:paraId="2FDD103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4EC3FE4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R$ 4.022,11</w:t>
            </w:r>
          </w:p>
        </w:tc>
      </w:tr>
      <w:tr w:rsidR="00666F4B" w:rsidRPr="00321D87" w14:paraId="0DBA7A18"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9FDB1F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34A0CF8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R$ 3.964,19</w:t>
            </w:r>
          </w:p>
        </w:tc>
        <w:tc>
          <w:tcPr>
            <w:tcW w:w="1417" w:type="dxa"/>
            <w:tcBorders>
              <w:top w:val="nil"/>
              <w:left w:val="nil"/>
              <w:bottom w:val="single" w:sz="4" w:space="0" w:color="000000"/>
              <w:right w:val="single" w:sz="4" w:space="0" w:color="000000"/>
            </w:tcBorders>
            <w:vAlign w:val="center"/>
          </w:tcPr>
          <w:p w14:paraId="184671D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618A325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R$ 4.504,76</w:t>
            </w:r>
          </w:p>
        </w:tc>
      </w:tr>
      <w:tr w:rsidR="00666F4B" w:rsidRPr="00321D87" w14:paraId="5D2D15E2"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5EAA49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55B80AD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R$ 4.439,89</w:t>
            </w:r>
          </w:p>
        </w:tc>
        <w:tc>
          <w:tcPr>
            <w:tcW w:w="1417" w:type="dxa"/>
            <w:tcBorders>
              <w:top w:val="nil"/>
              <w:left w:val="nil"/>
              <w:bottom w:val="single" w:sz="4" w:space="0" w:color="000000"/>
              <w:right w:val="single" w:sz="4" w:space="0" w:color="000000"/>
            </w:tcBorders>
            <w:vAlign w:val="center"/>
          </w:tcPr>
          <w:p w14:paraId="1084D4D7"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52E603D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R$ 5.045,33</w:t>
            </w:r>
          </w:p>
        </w:tc>
      </w:tr>
      <w:tr w:rsidR="00666F4B" w:rsidRPr="00321D87" w14:paraId="1B3C2781"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5AD585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0622E84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R$ 4.972,68</w:t>
            </w:r>
          </w:p>
        </w:tc>
        <w:tc>
          <w:tcPr>
            <w:tcW w:w="1417" w:type="dxa"/>
            <w:tcBorders>
              <w:top w:val="nil"/>
              <w:left w:val="nil"/>
              <w:bottom w:val="single" w:sz="4" w:space="0" w:color="000000"/>
              <w:right w:val="single" w:sz="4" w:space="0" w:color="000000"/>
            </w:tcBorders>
            <w:vAlign w:val="center"/>
          </w:tcPr>
          <w:p w14:paraId="0434FFF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004CBEB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R$ 5.650,77</w:t>
            </w:r>
          </w:p>
        </w:tc>
      </w:tr>
      <w:tr w:rsidR="00666F4B" w:rsidRPr="00321D87" w14:paraId="7951075E"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DC430D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1A9394E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R$ 5.569,40</w:t>
            </w:r>
          </w:p>
        </w:tc>
        <w:tc>
          <w:tcPr>
            <w:tcW w:w="1417" w:type="dxa"/>
            <w:tcBorders>
              <w:top w:val="nil"/>
              <w:left w:val="nil"/>
              <w:bottom w:val="single" w:sz="4" w:space="0" w:color="000000"/>
              <w:right w:val="single" w:sz="4" w:space="0" w:color="000000"/>
            </w:tcBorders>
            <w:vAlign w:val="center"/>
          </w:tcPr>
          <w:p w14:paraId="2AC5580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6FCF287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R$ 6.328,86</w:t>
            </w:r>
          </w:p>
        </w:tc>
      </w:tr>
      <w:tr w:rsidR="00666F4B" w:rsidRPr="00321D87" w14:paraId="55B7E025"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49497C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438EDBF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R$ 6.237,73</w:t>
            </w:r>
          </w:p>
        </w:tc>
        <w:tc>
          <w:tcPr>
            <w:tcW w:w="1417" w:type="dxa"/>
            <w:tcBorders>
              <w:top w:val="nil"/>
              <w:left w:val="nil"/>
              <w:bottom w:val="single" w:sz="4" w:space="0" w:color="000000"/>
              <w:right w:val="single" w:sz="4" w:space="0" w:color="000000"/>
            </w:tcBorders>
            <w:vAlign w:val="center"/>
          </w:tcPr>
          <w:p w14:paraId="5A9A9C67"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786F024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R$ 7.088,33</w:t>
            </w:r>
          </w:p>
        </w:tc>
      </w:tr>
      <w:tr w:rsidR="00666F4B" w:rsidRPr="00321D87" w14:paraId="41533691"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FFC000"/>
            <w:vAlign w:val="center"/>
          </w:tcPr>
          <w:p w14:paraId="0A1ED0A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30h</w:t>
            </w:r>
          </w:p>
        </w:tc>
        <w:tc>
          <w:tcPr>
            <w:tcW w:w="3624" w:type="dxa"/>
            <w:tcBorders>
              <w:top w:val="nil"/>
              <w:left w:val="nil"/>
              <w:bottom w:val="single" w:sz="4" w:space="0" w:color="000000"/>
              <w:right w:val="single" w:sz="4" w:space="0" w:color="000000"/>
            </w:tcBorders>
            <w:shd w:val="clear" w:color="auto" w:fill="FFC000"/>
            <w:vAlign w:val="center"/>
          </w:tcPr>
          <w:p w14:paraId="5B38192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30h = valor de 40h dividido por 40 e multiplicado por 30</w:t>
            </w:r>
          </w:p>
        </w:tc>
        <w:tc>
          <w:tcPr>
            <w:tcW w:w="1417" w:type="dxa"/>
            <w:tcBorders>
              <w:top w:val="nil"/>
              <w:left w:val="nil"/>
              <w:bottom w:val="single" w:sz="4" w:space="0" w:color="000000"/>
              <w:right w:val="single" w:sz="4" w:space="0" w:color="000000"/>
            </w:tcBorders>
            <w:shd w:val="clear" w:color="auto" w:fill="C98DFB"/>
            <w:vAlign w:val="center"/>
          </w:tcPr>
          <w:p w14:paraId="122A79C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40h</w:t>
            </w:r>
          </w:p>
        </w:tc>
        <w:tc>
          <w:tcPr>
            <w:tcW w:w="3402" w:type="dxa"/>
            <w:tcBorders>
              <w:top w:val="nil"/>
              <w:left w:val="nil"/>
              <w:bottom w:val="single" w:sz="4" w:space="0" w:color="000000"/>
              <w:right w:val="single" w:sz="4" w:space="0" w:color="000000"/>
            </w:tcBorders>
            <w:shd w:val="clear" w:color="auto" w:fill="C98DFB"/>
            <w:vAlign w:val="center"/>
          </w:tcPr>
          <w:p w14:paraId="028EF4D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por nível</w:t>
            </w:r>
          </w:p>
        </w:tc>
      </w:tr>
      <w:tr w:rsidR="00666F4B" w:rsidRPr="00321D87" w14:paraId="1B64FF7F"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0613272"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1BD8FAC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R$ 3.435,43</w:t>
            </w:r>
          </w:p>
        </w:tc>
        <w:tc>
          <w:tcPr>
            <w:tcW w:w="1417" w:type="dxa"/>
            <w:tcBorders>
              <w:top w:val="nil"/>
              <w:left w:val="nil"/>
              <w:bottom w:val="single" w:sz="4" w:space="0" w:color="000000"/>
              <w:right w:val="single" w:sz="4" w:space="0" w:color="000000"/>
            </w:tcBorders>
            <w:vAlign w:val="center"/>
          </w:tcPr>
          <w:p w14:paraId="6E18B8E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bottom"/>
          </w:tcPr>
          <w:p w14:paraId="457B046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R$ 4.580,57</w:t>
            </w:r>
          </w:p>
        </w:tc>
      </w:tr>
      <w:tr w:rsidR="00666F4B" w:rsidRPr="00321D87" w14:paraId="1A96B7E7"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CAA6C54"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010A870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R$ 3.847,68</w:t>
            </w:r>
          </w:p>
        </w:tc>
        <w:tc>
          <w:tcPr>
            <w:tcW w:w="1417" w:type="dxa"/>
            <w:tcBorders>
              <w:top w:val="nil"/>
              <w:left w:val="nil"/>
              <w:bottom w:val="single" w:sz="4" w:space="0" w:color="000000"/>
              <w:right w:val="single" w:sz="4" w:space="0" w:color="000000"/>
            </w:tcBorders>
            <w:vAlign w:val="center"/>
          </w:tcPr>
          <w:p w14:paraId="0BEB712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626011C6"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R$ 5.130,24</w:t>
            </w:r>
          </w:p>
        </w:tc>
      </w:tr>
      <w:tr w:rsidR="00666F4B" w:rsidRPr="00321D87" w14:paraId="091A9CCB"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319E858"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lastRenderedPageBreak/>
              <w:t>Nível 03</w:t>
            </w:r>
          </w:p>
        </w:tc>
        <w:tc>
          <w:tcPr>
            <w:tcW w:w="3624" w:type="dxa"/>
            <w:tcBorders>
              <w:top w:val="nil"/>
              <w:left w:val="nil"/>
              <w:bottom w:val="single" w:sz="4" w:space="0" w:color="000000"/>
              <w:right w:val="single" w:sz="4" w:space="0" w:color="000000"/>
            </w:tcBorders>
            <w:shd w:val="clear" w:color="auto" w:fill="auto"/>
            <w:vAlign w:val="center"/>
          </w:tcPr>
          <w:p w14:paraId="33F3402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R$ 4.309,40</w:t>
            </w:r>
          </w:p>
        </w:tc>
        <w:tc>
          <w:tcPr>
            <w:tcW w:w="1417" w:type="dxa"/>
            <w:tcBorders>
              <w:top w:val="nil"/>
              <w:left w:val="nil"/>
              <w:bottom w:val="single" w:sz="4" w:space="0" w:color="000000"/>
              <w:right w:val="single" w:sz="4" w:space="0" w:color="000000"/>
            </w:tcBorders>
            <w:vAlign w:val="center"/>
          </w:tcPr>
          <w:p w14:paraId="15EFE26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2ECCFD3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R$ 5.745,87</w:t>
            </w:r>
          </w:p>
        </w:tc>
      </w:tr>
      <w:tr w:rsidR="00666F4B" w:rsidRPr="00321D87" w14:paraId="736B0751"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CFDD69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111F07B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R$ 4.826,53</w:t>
            </w:r>
          </w:p>
        </w:tc>
        <w:tc>
          <w:tcPr>
            <w:tcW w:w="1417" w:type="dxa"/>
            <w:tcBorders>
              <w:top w:val="nil"/>
              <w:left w:val="nil"/>
              <w:bottom w:val="single" w:sz="4" w:space="0" w:color="000000"/>
              <w:right w:val="single" w:sz="4" w:space="0" w:color="000000"/>
            </w:tcBorders>
            <w:vAlign w:val="center"/>
          </w:tcPr>
          <w:p w14:paraId="6E781102"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0F315A8A"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R$ 6.435,37</w:t>
            </w:r>
          </w:p>
        </w:tc>
      </w:tr>
      <w:tr w:rsidR="00666F4B" w:rsidRPr="00321D87" w14:paraId="5D47DA11"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C04AE8D"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0AA94871"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R$ 5.405,71</w:t>
            </w:r>
          </w:p>
        </w:tc>
        <w:tc>
          <w:tcPr>
            <w:tcW w:w="1417" w:type="dxa"/>
            <w:tcBorders>
              <w:top w:val="nil"/>
              <w:left w:val="nil"/>
              <w:bottom w:val="single" w:sz="4" w:space="0" w:color="000000"/>
              <w:right w:val="single" w:sz="4" w:space="0" w:color="000000"/>
            </w:tcBorders>
            <w:vAlign w:val="center"/>
          </w:tcPr>
          <w:p w14:paraId="1B4CDC36"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6EA8D031"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R$ 7.207,62</w:t>
            </w:r>
          </w:p>
        </w:tc>
      </w:tr>
      <w:tr w:rsidR="00666F4B" w:rsidRPr="00321D87" w14:paraId="6550B4B3"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885982B"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282B62DE"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R$ 6.054,40</w:t>
            </w:r>
          </w:p>
        </w:tc>
        <w:tc>
          <w:tcPr>
            <w:tcW w:w="1417" w:type="dxa"/>
            <w:tcBorders>
              <w:top w:val="nil"/>
              <w:left w:val="nil"/>
              <w:bottom w:val="single" w:sz="4" w:space="0" w:color="000000"/>
              <w:right w:val="single" w:sz="4" w:space="0" w:color="000000"/>
            </w:tcBorders>
            <w:vAlign w:val="center"/>
          </w:tcPr>
          <w:p w14:paraId="237CAFC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0170F417"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R$ 8.072,53</w:t>
            </w:r>
          </w:p>
        </w:tc>
      </w:tr>
      <w:tr w:rsidR="00666F4B" w:rsidRPr="00321D87" w14:paraId="791B769A"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431268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4C9FAC6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R$ 6.780,92</w:t>
            </w:r>
          </w:p>
        </w:tc>
        <w:tc>
          <w:tcPr>
            <w:tcW w:w="1417" w:type="dxa"/>
            <w:tcBorders>
              <w:top w:val="nil"/>
              <w:left w:val="nil"/>
              <w:bottom w:val="single" w:sz="4" w:space="0" w:color="000000"/>
              <w:right w:val="single" w:sz="4" w:space="0" w:color="000000"/>
            </w:tcBorders>
            <w:vAlign w:val="center"/>
          </w:tcPr>
          <w:p w14:paraId="24A607CC"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1085D3CF"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R$ 9.041,23</w:t>
            </w:r>
          </w:p>
        </w:tc>
      </w:tr>
      <w:tr w:rsidR="00666F4B" w:rsidRPr="00321D87" w14:paraId="14C88D9D"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DA1D9F2"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3532F740"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R$ 7.594,64</w:t>
            </w:r>
          </w:p>
        </w:tc>
        <w:tc>
          <w:tcPr>
            <w:tcW w:w="1417" w:type="dxa"/>
            <w:tcBorders>
              <w:top w:val="nil"/>
              <w:left w:val="nil"/>
              <w:bottom w:val="single" w:sz="4" w:space="0" w:color="000000"/>
              <w:right w:val="single" w:sz="4" w:space="0" w:color="000000"/>
            </w:tcBorders>
            <w:vAlign w:val="center"/>
          </w:tcPr>
          <w:p w14:paraId="7F442006"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738D74D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R$ 10.126,18</w:t>
            </w:r>
          </w:p>
        </w:tc>
      </w:tr>
      <w:tr w:rsidR="00666F4B" w:rsidRPr="00321D87" w14:paraId="28D11DE5" w14:textId="77777777" w:rsidTr="00DE5E0A">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CED7F59"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6E3B65D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R$ 8.505,99</w:t>
            </w:r>
          </w:p>
        </w:tc>
        <w:tc>
          <w:tcPr>
            <w:tcW w:w="1417" w:type="dxa"/>
            <w:tcBorders>
              <w:top w:val="nil"/>
              <w:left w:val="nil"/>
              <w:bottom w:val="single" w:sz="4" w:space="0" w:color="000000"/>
              <w:right w:val="single" w:sz="4" w:space="0" w:color="000000"/>
            </w:tcBorders>
            <w:vAlign w:val="center"/>
          </w:tcPr>
          <w:p w14:paraId="77BE5073"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5B215545" w14:textId="77777777" w:rsidR="00666F4B" w:rsidRPr="00B47515" w:rsidRDefault="00666F4B" w:rsidP="00DE5E0A">
            <w:pPr>
              <w:jc w:val="center"/>
              <w:rPr>
                <w:rFonts w:ascii="Garamond" w:eastAsia="Calibri" w:hAnsi="Garamond"/>
                <w:color w:val="000000"/>
                <w:sz w:val="20"/>
                <w:szCs w:val="20"/>
              </w:rPr>
            </w:pPr>
            <w:r w:rsidRPr="00B47515">
              <w:rPr>
                <w:rFonts w:ascii="Garamond" w:eastAsia="Calibri" w:hAnsi="Garamond"/>
                <w:color w:val="000000"/>
                <w:sz w:val="20"/>
                <w:szCs w:val="20"/>
              </w:rPr>
              <w:t>R$ 11.341,32</w:t>
            </w:r>
          </w:p>
        </w:tc>
      </w:tr>
    </w:tbl>
    <w:p w14:paraId="722E5ACE" w14:textId="77777777" w:rsidR="00F14986" w:rsidRDefault="00F14986" w:rsidP="00F14986">
      <w:pPr>
        <w:ind w:firstLine="709"/>
        <w:jc w:val="both"/>
        <w:rPr>
          <w:rFonts w:eastAsia="Calibri"/>
        </w:rPr>
      </w:pPr>
    </w:p>
    <w:p w14:paraId="775E7E4E" w14:textId="77777777" w:rsidR="00F14986" w:rsidRPr="006A0DDF" w:rsidRDefault="00F14986" w:rsidP="00F14986">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7F205EB5" w14:textId="77777777" w:rsidR="00F14986" w:rsidRPr="006A0DDF" w:rsidRDefault="00F14986" w:rsidP="00F14986">
      <w:pPr>
        <w:ind w:firstLine="709"/>
        <w:jc w:val="both"/>
        <w:rPr>
          <w:rFonts w:eastAsia="Calibri"/>
        </w:rPr>
      </w:pPr>
    </w:p>
    <w:p w14:paraId="17DE4702" w14:textId="77777777" w:rsidR="00F14986" w:rsidRPr="006A0DDF" w:rsidRDefault="00F14986" w:rsidP="00F14986">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4556D7F1" w14:textId="77777777" w:rsidR="00F14986" w:rsidRPr="006A0DDF" w:rsidRDefault="00F14986" w:rsidP="00F14986">
      <w:pPr>
        <w:ind w:firstLine="709"/>
        <w:jc w:val="both"/>
        <w:rPr>
          <w:rFonts w:eastAsia="Calibri"/>
        </w:rPr>
      </w:pPr>
    </w:p>
    <w:p w14:paraId="2FA70594" w14:textId="77777777" w:rsidR="00F14986" w:rsidRDefault="00F14986" w:rsidP="00F14986">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358DCE1E" w14:textId="77777777" w:rsidR="00F14986" w:rsidRDefault="00F14986" w:rsidP="00A428D4">
      <w:pPr>
        <w:ind w:firstLine="709"/>
        <w:jc w:val="both"/>
        <w:rPr>
          <w:rFonts w:eastAsia="Calibri"/>
        </w:rPr>
      </w:pPr>
    </w:p>
    <w:p w14:paraId="1C291617" w14:textId="77777777" w:rsidR="00F14986" w:rsidRDefault="00F14986" w:rsidP="00F14986">
      <w:pPr>
        <w:spacing w:line="360" w:lineRule="auto"/>
        <w:ind w:firstLine="709"/>
        <w:jc w:val="both"/>
        <w:rPr>
          <w:rFonts w:eastAsia="Calibri"/>
        </w:rPr>
      </w:pPr>
      <w:r>
        <w:rPr>
          <w:rFonts w:eastAsia="Calibri"/>
        </w:rPr>
        <w:t>Temos, portanto, como valores dos vencimentos estaduais:</w:t>
      </w:r>
    </w:p>
    <w:p w14:paraId="263382AD" w14:textId="3068913F" w:rsidR="00F14986" w:rsidRDefault="00A428D4" w:rsidP="00F14986">
      <w:pPr>
        <w:spacing w:line="360" w:lineRule="auto"/>
        <w:ind w:firstLine="709"/>
        <w:jc w:val="both"/>
        <w:rPr>
          <w:rFonts w:eastAsia="Calibri"/>
        </w:rPr>
      </w:pPr>
      <w:r>
        <w:rPr>
          <w:rFonts w:ascii="Garamond" w:eastAsia="Calibri" w:hAnsi="Garamond"/>
          <w:noProof/>
          <w:sz w:val="23"/>
          <w:szCs w:val="23"/>
        </w:rPr>
        <w:drawing>
          <wp:inline distT="0" distB="0" distL="0" distR="0" wp14:anchorId="3698F4A8" wp14:editId="24EE918C">
            <wp:extent cx="5753100" cy="3333572"/>
            <wp:effectExtent l="0" t="0" r="0" b="635"/>
            <wp:docPr id="178776357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3573" name="Picture 1" descr="A screenshot of a documen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552" cy="3337311"/>
                    </a:xfrm>
                    <a:prstGeom prst="rect">
                      <a:avLst/>
                    </a:prstGeom>
                    <a:noFill/>
                    <a:ln>
                      <a:noFill/>
                    </a:ln>
                  </pic:spPr>
                </pic:pic>
              </a:graphicData>
            </a:graphic>
          </wp:inline>
        </w:drawing>
      </w:r>
    </w:p>
    <w:p w14:paraId="6DB008C4" w14:textId="163C3BCE" w:rsidR="00F14986" w:rsidRDefault="00F14986" w:rsidP="00F06E2B">
      <w:pPr>
        <w:spacing w:line="360" w:lineRule="auto"/>
        <w:ind w:firstLine="709"/>
        <w:jc w:val="both"/>
        <w:rPr>
          <w:rFonts w:eastAsia="Calibri"/>
        </w:rPr>
      </w:pPr>
      <w:r>
        <w:rPr>
          <w:rFonts w:eastAsia="Calibri"/>
        </w:rPr>
        <w:lastRenderedPageBreak/>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w:t>
      </w:r>
    </w:p>
    <w:p w14:paraId="6432C311" w14:textId="77777777" w:rsidR="00F06E2B" w:rsidRDefault="00F06E2B" w:rsidP="00F06E2B">
      <w:pPr>
        <w:ind w:firstLine="709"/>
        <w:jc w:val="both"/>
        <w:rPr>
          <w:rFonts w:eastAsia="Calibri"/>
        </w:rPr>
      </w:pPr>
    </w:p>
    <w:p w14:paraId="0E2D95B0" w14:textId="77777777" w:rsidR="00F14986" w:rsidRDefault="00F14986" w:rsidP="00F14986">
      <w:pPr>
        <w:spacing w:line="360" w:lineRule="auto"/>
        <w:ind w:firstLine="709"/>
        <w:jc w:val="both"/>
        <w:rPr>
          <w:rFonts w:eastAsia="Calibri"/>
        </w:rPr>
      </w:pPr>
      <w:r>
        <w:rPr>
          <w:rFonts w:eastAsia="Calibri"/>
        </w:rPr>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05D42881" w14:textId="77777777" w:rsidR="00F14986" w:rsidRPr="00077383" w:rsidRDefault="00F14986" w:rsidP="00F14986">
      <w:pPr>
        <w:ind w:firstLine="709"/>
        <w:jc w:val="both"/>
        <w:rPr>
          <w:rFonts w:eastAsia="Calibri"/>
          <w:sz w:val="12"/>
        </w:rPr>
      </w:pPr>
    </w:p>
    <w:p w14:paraId="37228CBE" w14:textId="77777777" w:rsidR="00F14986" w:rsidRDefault="00F14986" w:rsidP="00F14986">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437E317C" w14:textId="77777777" w:rsidR="00F14986" w:rsidRPr="00077383" w:rsidRDefault="00F14986" w:rsidP="00F14986">
      <w:pPr>
        <w:ind w:firstLine="709"/>
        <w:jc w:val="both"/>
        <w:rPr>
          <w:rFonts w:eastAsia="Calibri"/>
          <w:sz w:val="16"/>
        </w:rPr>
      </w:pPr>
    </w:p>
    <w:p w14:paraId="5B3D416E" w14:textId="77777777" w:rsidR="00F14986" w:rsidRDefault="00F14986" w:rsidP="00F14986">
      <w:pPr>
        <w:spacing w:line="360" w:lineRule="auto"/>
        <w:ind w:firstLine="709"/>
        <w:jc w:val="both"/>
        <w:rPr>
          <w:rFonts w:eastAsia="Calibri"/>
        </w:rPr>
      </w:pPr>
      <w:r>
        <w:rPr>
          <w:rFonts w:eastAsia="Calibri"/>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5803FB91" w14:textId="77777777" w:rsidR="00F14986" w:rsidRPr="00077383" w:rsidRDefault="00F14986" w:rsidP="00F14986">
      <w:pPr>
        <w:ind w:firstLine="709"/>
        <w:jc w:val="both"/>
        <w:rPr>
          <w:rFonts w:eastAsia="Calibri"/>
          <w:sz w:val="16"/>
        </w:rPr>
      </w:pPr>
    </w:p>
    <w:p w14:paraId="2BD6C504" w14:textId="77777777" w:rsidR="00F14986" w:rsidRDefault="00F14986" w:rsidP="00F14986">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6950EE09" w14:textId="77777777" w:rsidR="00F14986" w:rsidRPr="006646AF" w:rsidRDefault="00F14986" w:rsidP="00F14986">
      <w:pPr>
        <w:ind w:firstLine="709"/>
        <w:jc w:val="both"/>
        <w:rPr>
          <w:rFonts w:eastAsia="Calibri"/>
          <w:sz w:val="16"/>
        </w:rPr>
      </w:pPr>
    </w:p>
    <w:p w14:paraId="60C8C953" w14:textId="52F9B2EB" w:rsidR="00F14986" w:rsidRDefault="00F14986" w:rsidP="00F14986">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5051CF5D" w14:textId="77777777" w:rsidR="00F14986" w:rsidRDefault="00F14986" w:rsidP="00F14986">
      <w:pPr>
        <w:ind w:firstLine="709"/>
        <w:jc w:val="both"/>
        <w:rPr>
          <w:rFonts w:eastAsia="Calibri"/>
        </w:rPr>
      </w:pPr>
    </w:p>
    <w:p w14:paraId="11E0713D" w14:textId="3F77E4D7" w:rsidR="00F14986" w:rsidRDefault="00F14986" w:rsidP="00F14986">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sidR="000E7E2D">
        <w:rPr>
          <w:rFonts w:eastAsia="Calibri"/>
          <w:b/>
          <w:u w:val="single"/>
        </w:rPr>
        <w:t>4</w:t>
      </w:r>
      <w:r>
        <w:rPr>
          <w:rFonts w:eastAsia="Calibri"/>
        </w:rPr>
        <w:t>):</w:t>
      </w:r>
    </w:p>
    <w:p w14:paraId="0A744706" w14:textId="77777777" w:rsidR="000E7E2D" w:rsidRDefault="000E7E2D" w:rsidP="000E7E2D">
      <w:pPr>
        <w:ind w:firstLine="709"/>
        <w:jc w:val="both"/>
        <w:rPr>
          <w:rFonts w:eastAsia="Calibri"/>
        </w:rPr>
      </w:pPr>
    </w:p>
    <w:tbl>
      <w:tblPr>
        <w:tblStyle w:val="a1"/>
        <w:tblW w:w="7700" w:type="dxa"/>
        <w:jc w:val="center"/>
        <w:tblInd w:w="0" w:type="dxa"/>
        <w:tblLayout w:type="fixed"/>
        <w:tblLook w:val="0400" w:firstRow="0" w:lastRow="0" w:firstColumn="0" w:lastColumn="0" w:noHBand="0" w:noVBand="1"/>
      </w:tblPr>
      <w:tblGrid>
        <w:gridCol w:w="1900"/>
        <w:gridCol w:w="1920"/>
        <w:gridCol w:w="1940"/>
        <w:gridCol w:w="1940"/>
      </w:tblGrid>
      <w:tr w:rsidR="000E7E2D" w:rsidRPr="00FF19DD" w14:paraId="35CF7F28" w14:textId="77777777" w:rsidTr="00DE5E0A">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7592D7E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1D72BEC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560D686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5B6B134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0E7E2D" w:rsidRPr="00FF19DD" w14:paraId="1010E5A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44DFEBD"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6F32975D"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R$ 1.832,23</w:t>
            </w:r>
          </w:p>
        </w:tc>
        <w:tc>
          <w:tcPr>
            <w:tcW w:w="1940" w:type="dxa"/>
            <w:tcBorders>
              <w:top w:val="nil"/>
              <w:left w:val="nil"/>
              <w:bottom w:val="single" w:sz="4" w:space="0" w:color="000000"/>
              <w:right w:val="single" w:sz="4" w:space="0" w:color="000000"/>
            </w:tcBorders>
            <w:shd w:val="clear" w:color="auto" w:fill="auto"/>
            <w:vAlign w:val="center"/>
          </w:tcPr>
          <w:p w14:paraId="02E5AA9F"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3FCF5587"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R$ 706,67</w:t>
            </w:r>
          </w:p>
        </w:tc>
      </w:tr>
      <w:tr w:rsidR="000E7E2D" w:rsidRPr="00FF19DD" w14:paraId="35B788B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34603D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00E2B5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R$ 2.052,10</w:t>
            </w:r>
          </w:p>
        </w:tc>
        <w:tc>
          <w:tcPr>
            <w:tcW w:w="1940" w:type="dxa"/>
            <w:tcBorders>
              <w:top w:val="nil"/>
              <w:left w:val="nil"/>
              <w:bottom w:val="single" w:sz="4" w:space="0" w:color="000000"/>
              <w:right w:val="single" w:sz="4" w:space="0" w:color="000000"/>
            </w:tcBorders>
            <w:shd w:val="clear" w:color="auto" w:fill="auto"/>
            <w:vAlign w:val="center"/>
          </w:tcPr>
          <w:p w14:paraId="1AA1998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448B7941"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R$ 791,48</w:t>
            </w:r>
          </w:p>
        </w:tc>
      </w:tr>
      <w:tr w:rsidR="000E7E2D" w:rsidRPr="00FF19DD" w14:paraId="2A4D1B1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04564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0A6EC96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R$ 2.298,35</w:t>
            </w:r>
          </w:p>
        </w:tc>
        <w:tc>
          <w:tcPr>
            <w:tcW w:w="1940" w:type="dxa"/>
            <w:tcBorders>
              <w:top w:val="nil"/>
              <w:left w:val="nil"/>
              <w:bottom w:val="single" w:sz="4" w:space="0" w:color="000000"/>
              <w:right w:val="single" w:sz="4" w:space="0" w:color="000000"/>
            </w:tcBorders>
            <w:shd w:val="clear" w:color="auto" w:fill="auto"/>
            <w:vAlign w:val="center"/>
          </w:tcPr>
          <w:p w14:paraId="5731EFBA"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31C694F4"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R$ 886,42</w:t>
            </w:r>
          </w:p>
        </w:tc>
      </w:tr>
      <w:tr w:rsidR="000E7E2D" w:rsidRPr="00FF19DD" w14:paraId="24A373E4"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B1477D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0B46B8C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R$ 2.574,15</w:t>
            </w:r>
          </w:p>
        </w:tc>
        <w:tc>
          <w:tcPr>
            <w:tcW w:w="1940" w:type="dxa"/>
            <w:tcBorders>
              <w:top w:val="nil"/>
              <w:left w:val="nil"/>
              <w:bottom w:val="single" w:sz="4" w:space="0" w:color="000000"/>
              <w:right w:val="single" w:sz="4" w:space="0" w:color="000000"/>
            </w:tcBorders>
            <w:shd w:val="clear" w:color="auto" w:fill="auto"/>
            <w:vAlign w:val="center"/>
          </w:tcPr>
          <w:p w14:paraId="332B17A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1736994A"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R$ 992,83</w:t>
            </w:r>
          </w:p>
        </w:tc>
      </w:tr>
      <w:tr w:rsidR="000E7E2D" w:rsidRPr="00FF19DD" w14:paraId="6C9E698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DA1BAA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3082AE2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R$ 2.883,05</w:t>
            </w:r>
          </w:p>
        </w:tc>
        <w:tc>
          <w:tcPr>
            <w:tcW w:w="1940" w:type="dxa"/>
            <w:tcBorders>
              <w:top w:val="nil"/>
              <w:left w:val="nil"/>
              <w:bottom w:val="single" w:sz="4" w:space="0" w:color="000000"/>
              <w:right w:val="single" w:sz="4" w:space="0" w:color="000000"/>
            </w:tcBorders>
            <w:shd w:val="clear" w:color="auto" w:fill="auto"/>
            <w:vAlign w:val="center"/>
          </w:tcPr>
          <w:p w14:paraId="205FCFF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16B9AFEA"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R$ 1.111,97</w:t>
            </w:r>
          </w:p>
        </w:tc>
      </w:tr>
      <w:tr w:rsidR="000E7E2D" w:rsidRPr="00FF19DD" w14:paraId="520B4F7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443C28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68B78F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R$ 3.229,01</w:t>
            </w:r>
          </w:p>
        </w:tc>
        <w:tc>
          <w:tcPr>
            <w:tcW w:w="1940" w:type="dxa"/>
            <w:tcBorders>
              <w:top w:val="nil"/>
              <w:left w:val="nil"/>
              <w:bottom w:val="single" w:sz="4" w:space="0" w:color="000000"/>
              <w:right w:val="single" w:sz="4" w:space="0" w:color="000000"/>
            </w:tcBorders>
            <w:shd w:val="clear" w:color="auto" w:fill="auto"/>
            <w:vAlign w:val="center"/>
          </w:tcPr>
          <w:p w14:paraId="2FAC31C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7BFDC8BF"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R$ 1.245,84</w:t>
            </w:r>
          </w:p>
        </w:tc>
      </w:tr>
      <w:tr w:rsidR="000E7E2D" w:rsidRPr="00FF19DD" w14:paraId="4BF390F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F40FF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C14ABF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R$ 3.616,49</w:t>
            </w:r>
          </w:p>
        </w:tc>
        <w:tc>
          <w:tcPr>
            <w:tcW w:w="1940" w:type="dxa"/>
            <w:tcBorders>
              <w:top w:val="nil"/>
              <w:left w:val="nil"/>
              <w:bottom w:val="single" w:sz="4" w:space="0" w:color="000000"/>
              <w:right w:val="single" w:sz="4" w:space="0" w:color="000000"/>
            </w:tcBorders>
            <w:shd w:val="clear" w:color="auto" w:fill="auto"/>
            <w:vAlign w:val="center"/>
          </w:tcPr>
          <w:p w14:paraId="30157ED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R$ 2.221,65</w:t>
            </w:r>
          </w:p>
        </w:tc>
        <w:tc>
          <w:tcPr>
            <w:tcW w:w="1940" w:type="dxa"/>
            <w:tcBorders>
              <w:top w:val="nil"/>
              <w:left w:val="nil"/>
              <w:bottom w:val="single" w:sz="4" w:space="0" w:color="000000"/>
              <w:right w:val="single" w:sz="4" w:space="0" w:color="000000"/>
            </w:tcBorders>
            <w:shd w:val="clear" w:color="auto" w:fill="auto"/>
            <w:vAlign w:val="bottom"/>
          </w:tcPr>
          <w:p w14:paraId="43AFD7B8"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R$ 1.394,84</w:t>
            </w:r>
          </w:p>
        </w:tc>
      </w:tr>
      <w:tr w:rsidR="000E7E2D" w:rsidRPr="00FF19DD" w14:paraId="3EEF7E6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A0D863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3E292B8"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R$ 4.050,47</w:t>
            </w:r>
          </w:p>
        </w:tc>
        <w:tc>
          <w:tcPr>
            <w:tcW w:w="1940" w:type="dxa"/>
            <w:tcBorders>
              <w:top w:val="nil"/>
              <w:left w:val="nil"/>
              <w:bottom w:val="single" w:sz="4" w:space="0" w:color="000000"/>
              <w:right w:val="single" w:sz="4" w:space="0" w:color="000000"/>
            </w:tcBorders>
            <w:shd w:val="clear" w:color="auto" w:fill="auto"/>
            <w:vAlign w:val="center"/>
          </w:tcPr>
          <w:p w14:paraId="3623732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0905CF54"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R$ 1.562,22</w:t>
            </w:r>
          </w:p>
        </w:tc>
      </w:tr>
      <w:tr w:rsidR="000E7E2D" w:rsidRPr="00FF19DD" w14:paraId="531B0B3F"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4D18B7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75E1123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R$ 4.536,53</w:t>
            </w:r>
          </w:p>
        </w:tc>
        <w:tc>
          <w:tcPr>
            <w:tcW w:w="1940" w:type="dxa"/>
            <w:tcBorders>
              <w:top w:val="nil"/>
              <w:left w:val="nil"/>
              <w:bottom w:val="single" w:sz="4" w:space="0" w:color="000000"/>
              <w:right w:val="single" w:sz="4" w:space="0" w:color="000000"/>
            </w:tcBorders>
            <w:shd w:val="clear" w:color="auto" w:fill="auto"/>
            <w:vAlign w:val="center"/>
          </w:tcPr>
          <w:p w14:paraId="5685106A"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R$ 2.786,84</w:t>
            </w:r>
          </w:p>
        </w:tc>
        <w:tc>
          <w:tcPr>
            <w:tcW w:w="1940" w:type="dxa"/>
            <w:tcBorders>
              <w:top w:val="nil"/>
              <w:left w:val="nil"/>
              <w:bottom w:val="single" w:sz="4" w:space="0" w:color="000000"/>
              <w:right w:val="single" w:sz="4" w:space="0" w:color="000000"/>
            </w:tcBorders>
            <w:shd w:val="clear" w:color="auto" w:fill="auto"/>
            <w:vAlign w:val="bottom"/>
          </w:tcPr>
          <w:p w14:paraId="49D38827"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R$ 1.749,69</w:t>
            </w:r>
          </w:p>
        </w:tc>
      </w:tr>
      <w:tr w:rsidR="000E7E2D" w:rsidRPr="00FF19DD" w14:paraId="2D37044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C98DFB"/>
            <w:vAlign w:val="center"/>
          </w:tcPr>
          <w:p w14:paraId="4F8B49E0"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18h</w:t>
            </w:r>
          </w:p>
        </w:tc>
        <w:tc>
          <w:tcPr>
            <w:tcW w:w="1920" w:type="dxa"/>
            <w:tcBorders>
              <w:top w:val="nil"/>
              <w:left w:val="nil"/>
              <w:bottom w:val="single" w:sz="4" w:space="0" w:color="000000"/>
              <w:right w:val="single" w:sz="4" w:space="0" w:color="000000"/>
            </w:tcBorders>
            <w:shd w:val="clear" w:color="auto" w:fill="C98DFB"/>
            <w:vAlign w:val="center"/>
          </w:tcPr>
          <w:p w14:paraId="2D9DF5F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98DFB"/>
            <w:vAlign w:val="center"/>
          </w:tcPr>
          <w:p w14:paraId="1FF295B2"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98DFB"/>
            <w:vAlign w:val="center"/>
          </w:tcPr>
          <w:p w14:paraId="38659CA4" w14:textId="77777777" w:rsidR="000E7E2D" w:rsidRPr="00FF19DD" w:rsidRDefault="000E7E2D" w:rsidP="00DE5E0A">
            <w:pPr>
              <w:jc w:val="center"/>
              <w:rPr>
                <w:rFonts w:ascii="Garamond" w:hAnsi="Garamond"/>
                <w:color w:val="FF0000"/>
                <w:sz w:val="22"/>
                <w:szCs w:val="22"/>
              </w:rPr>
            </w:pPr>
            <w:r w:rsidRPr="00FF19DD">
              <w:rPr>
                <w:rFonts w:ascii="Garamond" w:eastAsia="Calibri" w:hAnsi="Garamond"/>
                <w:color w:val="000000"/>
                <w:sz w:val="22"/>
                <w:szCs w:val="22"/>
              </w:rPr>
              <w:t>Diferença 2024</w:t>
            </w:r>
          </w:p>
        </w:tc>
      </w:tr>
      <w:tr w:rsidR="000E7E2D" w:rsidRPr="00FF19DD" w14:paraId="611D5D72"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AC540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181FDBB9"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R$ 2.061,26</w:t>
            </w:r>
          </w:p>
        </w:tc>
        <w:tc>
          <w:tcPr>
            <w:tcW w:w="1940" w:type="dxa"/>
            <w:tcBorders>
              <w:top w:val="nil"/>
              <w:left w:val="nil"/>
              <w:bottom w:val="single" w:sz="4" w:space="0" w:color="000000"/>
              <w:right w:val="single" w:sz="4" w:space="0" w:color="000000"/>
            </w:tcBorders>
            <w:shd w:val="clear" w:color="auto" w:fill="auto"/>
            <w:vAlign w:val="center"/>
          </w:tcPr>
          <w:p w14:paraId="193CF983" w14:textId="77777777" w:rsidR="000E7E2D" w:rsidRPr="00FF19DD" w:rsidRDefault="000E7E2D" w:rsidP="00DE5E0A">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533CDDFF" w14:textId="77777777" w:rsidR="000E7E2D" w:rsidRPr="00FF19DD" w:rsidRDefault="000E7E2D" w:rsidP="00DE5E0A">
            <w:pPr>
              <w:jc w:val="center"/>
              <w:rPr>
                <w:rFonts w:ascii="Garamond" w:hAnsi="Garamond"/>
                <w:color w:val="FF0000"/>
                <w:sz w:val="22"/>
                <w:szCs w:val="22"/>
              </w:rPr>
            </w:pPr>
          </w:p>
        </w:tc>
      </w:tr>
      <w:tr w:rsidR="000E7E2D" w:rsidRPr="00FF19DD" w14:paraId="1B553CFE"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E96C82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3988CBDE"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R$ 2.308,61</w:t>
            </w:r>
          </w:p>
        </w:tc>
        <w:tc>
          <w:tcPr>
            <w:tcW w:w="1940" w:type="dxa"/>
            <w:tcBorders>
              <w:top w:val="nil"/>
              <w:left w:val="nil"/>
              <w:bottom w:val="single" w:sz="4" w:space="0" w:color="000000"/>
              <w:right w:val="single" w:sz="4" w:space="0" w:color="000000"/>
            </w:tcBorders>
            <w:shd w:val="clear" w:color="auto" w:fill="auto"/>
            <w:vAlign w:val="center"/>
          </w:tcPr>
          <w:p w14:paraId="5001E5BB" w14:textId="77777777" w:rsidR="000E7E2D" w:rsidRPr="00FF19DD" w:rsidRDefault="000E7E2D" w:rsidP="00DE5E0A">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73D707DA" w14:textId="77777777" w:rsidR="000E7E2D" w:rsidRPr="00FF19DD" w:rsidRDefault="000E7E2D" w:rsidP="00DE5E0A">
            <w:pPr>
              <w:jc w:val="center"/>
              <w:rPr>
                <w:rFonts w:ascii="Garamond" w:hAnsi="Garamond"/>
                <w:color w:val="FF0000"/>
                <w:sz w:val="22"/>
                <w:szCs w:val="22"/>
              </w:rPr>
            </w:pPr>
          </w:p>
        </w:tc>
      </w:tr>
      <w:tr w:rsidR="000E7E2D" w:rsidRPr="00FF19DD" w14:paraId="084E109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011AD6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3136D736"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R$ 2.585,64</w:t>
            </w:r>
          </w:p>
        </w:tc>
        <w:tc>
          <w:tcPr>
            <w:tcW w:w="1940" w:type="dxa"/>
            <w:tcBorders>
              <w:top w:val="nil"/>
              <w:left w:val="nil"/>
              <w:bottom w:val="single" w:sz="4" w:space="0" w:color="000000"/>
              <w:right w:val="single" w:sz="4" w:space="0" w:color="000000"/>
            </w:tcBorders>
            <w:shd w:val="clear" w:color="auto" w:fill="auto"/>
            <w:vAlign w:val="center"/>
          </w:tcPr>
          <w:p w14:paraId="1FEAF75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R$ 1.588,42</w:t>
            </w:r>
          </w:p>
        </w:tc>
        <w:tc>
          <w:tcPr>
            <w:tcW w:w="1940" w:type="dxa"/>
            <w:tcBorders>
              <w:top w:val="nil"/>
              <w:left w:val="nil"/>
              <w:bottom w:val="single" w:sz="4" w:space="0" w:color="000000"/>
              <w:right w:val="single" w:sz="4" w:space="0" w:color="000000"/>
            </w:tcBorders>
            <w:shd w:val="clear" w:color="auto" w:fill="auto"/>
            <w:vAlign w:val="bottom"/>
          </w:tcPr>
          <w:p w14:paraId="141F1AA6"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R$ 997,22</w:t>
            </w:r>
          </w:p>
        </w:tc>
      </w:tr>
      <w:tr w:rsidR="000E7E2D" w:rsidRPr="00FF19DD" w14:paraId="494BD1C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5DE88B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352F4F29"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R$ 2.895,92</w:t>
            </w:r>
          </w:p>
        </w:tc>
        <w:tc>
          <w:tcPr>
            <w:tcW w:w="1940" w:type="dxa"/>
            <w:tcBorders>
              <w:top w:val="nil"/>
              <w:left w:val="nil"/>
              <w:bottom w:val="single" w:sz="4" w:space="0" w:color="000000"/>
              <w:right w:val="single" w:sz="4" w:space="0" w:color="000000"/>
            </w:tcBorders>
            <w:shd w:val="clear" w:color="auto" w:fill="auto"/>
            <w:vAlign w:val="center"/>
          </w:tcPr>
          <w:p w14:paraId="72FCB5B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R$ 1.778,98</w:t>
            </w:r>
          </w:p>
        </w:tc>
        <w:tc>
          <w:tcPr>
            <w:tcW w:w="1940" w:type="dxa"/>
            <w:tcBorders>
              <w:top w:val="nil"/>
              <w:left w:val="nil"/>
              <w:bottom w:val="single" w:sz="4" w:space="0" w:color="000000"/>
              <w:right w:val="single" w:sz="4" w:space="0" w:color="000000"/>
            </w:tcBorders>
            <w:shd w:val="clear" w:color="auto" w:fill="auto"/>
            <w:vAlign w:val="bottom"/>
          </w:tcPr>
          <w:p w14:paraId="63D3A41D"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R$ 1.116,93</w:t>
            </w:r>
          </w:p>
        </w:tc>
      </w:tr>
      <w:tr w:rsidR="000E7E2D" w:rsidRPr="00FF19DD" w14:paraId="7E6F3F8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CBB0EE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2F370DA2"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R$ 3.243,43</w:t>
            </w:r>
          </w:p>
        </w:tc>
        <w:tc>
          <w:tcPr>
            <w:tcW w:w="1940" w:type="dxa"/>
            <w:tcBorders>
              <w:top w:val="nil"/>
              <w:left w:val="nil"/>
              <w:bottom w:val="single" w:sz="4" w:space="0" w:color="000000"/>
              <w:right w:val="single" w:sz="4" w:space="0" w:color="000000"/>
            </w:tcBorders>
            <w:shd w:val="clear" w:color="auto" w:fill="auto"/>
            <w:vAlign w:val="center"/>
          </w:tcPr>
          <w:p w14:paraId="6E12BA5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R$ 1.992,47</w:t>
            </w:r>
          </w:p>
        </w:tc>
        <w:tc>
          <w:tcPr>
            <w:tcW w:w="1940" w:type="dxa"/>
            <w:tcBorders>
              <w:top w:val="nil"/>
              <w:left w:val="nil"/>
              <w:bottom w:val="single" w:sz="4" w:space="0" w:color="000000"/>
              <w:right w:val="single" w:sz="4" w:space="0" w:color="000000"/>
            </w:tcBorders>
            <w:shd w:val="clear" w:color="auto" w:fill="auto"/>
            <w:vAlign w:val="bottom"/>
          </w:tcPr>
          <w:p w14:paraId="5F84A307"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R$ 1.250,96</w:t>
            </w:r>
          </w:p>
        </w:tc>
      </w:tr>
      <w:tr w:rsidR="000E7E2D" w:rsidRPr="00FF19DD" w14:paraId="5B29EE7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CE5CF4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674E971C"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R$ 3.632,64</w:t>
            </w:r>
          </w:p>
        </w:tc>
        <w:tc>
          <w:tcPr>
            <w:tcW w:w="1940" w:type="dxa"/>
            <w:tcBorders>
              <w:top w:val="nil"/>
              <w:left w:val="nil"/>
              <w:bottom w:val="single" w:sz="4" w:space="0" w:color="000000"/>
              <w:right w:val="single" w:sz="4" w:space="0" w:color="000000"/>
            </w:tcBorders>
            <w:shd w:val="clear" w:color="auto" w:fill="auto"/>
            <w:vAlign w:val="center"/>
          </w:tcPr>
          <w:p w14:paraId="4D07FAB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R$ 2.362,69</w:t>
            </w:r>
          </w:p>
        </w:tc>
        <w:tc>
          <w:tcPr>
            <w:tcW w:w="1940" w:type="dxa"/>
            <w:tcBorders>
              <w:top w:val="nil"/>
              <w:left w:val="nil"/>
              <w:bottom w:val="single" w:sz="4" w:space="0" w:color="000000"/>
              <w:right w:val="single" w:sz="4" w:space="0" w:color="000000"/>
            </w:tcBorders>
            <w:shd w:val="clear" w:color="auto" w:fill="auto"/>
            <w:vAlign w:val="bottom"/>
          </w:tcPr>
          <w:p w14:paraId="462A2DC0"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R$ 1.269,95</w:t>
            </w:r>
          </w:p>
        </w:tc>
      </w:tr>
      <w:tr w:rsidR="000E7E2D" w:rsidRPr="00FF19DD" w14:paraId="12078836"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AE7BF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AD75F32"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R$ 4.068,55</w:t>
            </w:r>
          </w:p>
        </w:tc>
        <w:tc>
          <w:tcPr>
            <w:tcW w:w="1940" w:type="dxa"/>
            <w:tcBorders>
              <w:top w:val="nil"/>
              <w:left w:val="nil"/>
              <w:bottom w:val="single" w:sz="4" w:space="0" w:color="000000"/>
              <w:right w:val="single" w:sz="4" w:space="0" w:color="000000"/>
            </w:tcBorders>
            <w:shd w:val="clear" w:color="auto" w:fill="auto"/>
            <w:vAlign w:val="center"/>
          </w:tcPr>
          <w:p w14:paraId="236BC35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R$ 2.499,37</w:t>
            </w:r>
          </w:p>
        </w:tc>
        <w:tc>
          <w:tcPr>
            <w:tcW w:w="1940" w:type="dxa"/>
            <w:tcBorders>
              <w:top w:val="nil"/>
              <w:left w:val="nil"/>
              <w:bottom w:val="single" w:sz="4" w:space="0" w:color="000000"/>
              <w:right w:val="single" w:sz="4" w:space="0" w:color="000000"/>
            </w:tcBorders>
            <w:shd w:val="clear" w:color="auto" w:fill="auto"/>
            <w:vAlign w:val="bottom"/>
          </w:tcPr>
          <w:p w14:paraId="78312FE6"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R$ 1.569,19</w:t>
            </w:r>
          </w:p>
        </w:tc>
      </w:tr>
      <w:tr w:rsidR="000E7E2D" w:rsidRPr="00FF19DD" w14:paraId="1325D72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014A9F"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3A9888C8"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R$ 4.556,78</w:t>
            </w:r>
          </w:p>
        </w:tc>
        <w:tc>
          <w:tcPr>
            <w:tcW w:w="1940" w:type="dxa"/>
            <w:tcBorders>
              <w:top w:val="nil"/>
              <w:left w:val="nil"/>
              <w:bottom w:val="single" w:sz="4" w:space="0" w:color="000000"/>
              <w:right w:val="single" w:sz="4" w:space="0" w:color="000000"/>
            </w:tcBorders>
            <w:shd w:val="clear" w:color="auto" w:fill="auto"/>
            <w:vAlign w:val="center"/>
          </w:tcPr>
          <w:p w14:paraId="08C4446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R$ 2.799,28</w:t>
            </w:r>
          </w:p>
        </w:tc>
        <w:tc>
          <w:tcPr>
            <w:tcW w:w="1940" w:type="dxa"/>
            <w:tcBorders>
              <w:top w:val="nil"/>
              <w:left w:val="nil"/>
              <w:bottom w:val="single" w:sz="4" w:space="0" w:color="000000"/>
              <w:right w:val="single" w:sz="4" w:space="0" w:color="000000"/>
            </w:tcBorders>
            <w:shd w:val="clear" w:color="auto" w:fill="auto"/>
            <w:vAlign w:val="bottom"/>
          </w:tcPr>
          <w:p w14:paraId="6C805ABC"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R$ 1.757,51</w:t>
            </w:r>
          </w:p>
        </w:tc>
      </w:tr>
      <w:tr w:rsidR="000E7E2D" w:rsidRPr="00FF19DD" w14:paraId="714C2C0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DBBF2E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E6315F6" w14:textId="77777777" w:rsidR="000E7E2D" w:rsidRPr="00FF19DD" w:rsidRDefault="000E7E2D" w:rsidP="00DE5E0A">
            <w:pPr>
              <w:jc w:val="center"/>
              <w:rPr>
                <w:rFonts w:ascii="Garamond" w:eastAsia="Calibri" w:hAnsi="Garamond"/>
                <w:color w:val="000000"/>
                <w:sz w:val="22"/>
                <w:szCs w:val="22"/>
              </w:rPr>
            </w:pPr>
            <w:r w:rsidRPr="00FF19DD">
              <w:rPr>
                <w:rFonts w:ascii="Garamond" w:hAnsi="Garamond"/>
                <w:color w:val="000000"/>
                <w:sz w:val="22"/>
                <w:szCs w:val="22"/>
              </w:rPr>
              <w:t>R$ 5.103,60</w:t>
            </w:r>
          </w:p>
        </w:tc>
        <w:tc>
          <w:tcPr>
            <w:tcW w:w="1940" w:type="dxa"/>
            <w:tcBorders>
              <w:top w:val="nil"/>
              <w:left w:val="nil"/>
              <w:bottom w:val="single" w:sz="4" w:space="0" w:color="000000"/>
              <w:right w:val="single" w:sz="4" w:space="0" w:color="000000"/>
            </w:tcBorders>
            <w:shd w:val="clear" w:color="auto" w:fill="auto"/>
            <w:vAlign w:val="center"/>
          </w:tcPr>
          <w:p w14:paraId="5A4E4A1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R$ 3.135,19</w:t>
            </w:r>
          </w:p>
        </w:tc>
        <w:tc>
          <w:tcPr>
            <w:tcW w:w="1940" w:type="dxa"/>
            <w:tcBorders>
              <w:top w:val="nil"/>
              <w:left w:val="nil"/>
              <w:bottom w:val="single" w:sz="4" w:space="0" w:color="000000"/>
              <w:right w:val="single" w:sz="4" w:space="0" w:color="000000"/>
            </w:tcBorders>
            <w:shd w:val="clear" w:color="auto" w:fill="auto"/>
            <w:vAlign w:val="bottom"/>
          </w:tcPr>
          <w:p w14:paraId="087E533E" w14:textId="77777777" w:rsidR="000E7E2D" w:rsidRPr="00FF19DD" w:rsidRDefault="000E7E2D" w:rsidP="00DE5E0A">
            <w:pPr>
              <w:jc w:val="center"/>
              <w:rPr>
                <w:rFonts w:ascii="Garamond" w:hAnsi="Garamond"/>
                <w:color w:val="FF0000"/>
                <w:sz w:val="22"/>
                <w:szCs w:val="22"/>
              </w:rPr>
            </w:pPr>
            <w:r w:rsidRPr="00FF19DD">
              <w:rPr>
                <w:rFonts w:ascii="Garamond" w:hAnsi="Garamond"/>
                <w:color w:val="FF0000"/>
                <w:sz w:val="22"/>
                <w:szCs w:val="22"/>
              </w:rPr>
              <w:t>R$ 1.968,41</w:t>
            </w:r>
          </w:p>
        </w:tc>
      </w:tr>
      <w:tr w:rsidR="000E7E2D" w:rsidRPr="00FF19DD" w14:paraId="6792C735"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1242768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1AC97B9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70AD47"/>
            <w:vAlign w:val="center"/>
          </w:tcPr>
          <w:p w14:paraId="3E9767A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70AD47"/>
            <w:vAlign w:val="center"/>
          </w:tcPr>
          <w:p w14:paraId="51709862"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0E7E2D" w:rsidRPr="00FF19DD" w14:paraId="78D8266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4F133C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45BB52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R$ 2.519,31</w:t>
            </w:r>
          </w:p>
        </w:tc>
        <w:tc>
          <w:tcPr>
            <w:tcW w:w="1940" w:type="dxa"/>
            <w:tcBorders>
              <w:top w:val="nil"/>
              <w:left w:val="nil"/>
              <w:bottom w:val="single" w:sz="4" w:space="0" w:color="000000"/>
              <w:right w:val="single" w:sz="4" w:space="0" w:color="000000"/>
            </w:tcBorders>
            <w:shd w:val="clear" w:color="auto" w:fill="auto"/>
            <w:vAlign w:val="center"/>
          </w:tcPr>
          <w:p w14:paraId="3D426A6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37F97A5D"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R$ 1.393,75</w:t>
            </w:r>
          </w:p>
        </w:tc>
      </w:tr>
      <w:tr w:rsidR="000E7E2D" w:rsidRPr="00FF19DD" w14:paraId="18954B1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46882D"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07E2EDE8"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R$ 2.821,63</w:t>
            </w:r>
          </w:p>
        </w:tc>
        <w:tc>
          <w:tcPr>
            <w:tcW w:w="1940" w:type="dxa"/>
            <w:tcBorders>
              <w:top w:val="nil"/>
              <w:left w:val="nil"/>
              <w:bottom w:val="single" w:sz="4" w:space="0" w:color="000000"/>
              <w:right w:val="single" w:sz="4" w:space="0" w:color="000000"/>
            </w:tcBorders>
            <w:shd w:val="clear" w:color="auto" w:fill="auto"/>
            <w:vAlign w:val="center"/>
          </w:tcPr>
          <w:p w14:paraId="27CDA2AB"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16E6353E"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R$ 1.561,02</w:t>
            </w:r>
          </w:p>
        </w:tc>
      </w:tr>
      <w:tr w:rsidR="000E7E2D" w:rsidRPr="00FF19DD" w14:paraId="141B5BF2"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6D7FDA"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2DCE9C4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R$ 3.160,23</w:t>
            </w:r>
          </w:p>
        </w:tc>
        <w:tc>
          <w:tcPr>
            <w:tcW w:w="1940" w:type="dxa"/>
            <w:tcBorders>
              <w:top w:val="nil"/>
              <w:left w:val="nil"/>
              <w:bottom w:val="single" w:sz="4" w:space="0" w:color="000000"/>
              <w:right w:val="single" w:sz="4" w:space="0" w:color="000000"/>
            </w:tcBorders>
            <w:shd w:val="clear" w:color="auto" w:fill="auto"/>
            <w:vAlign w:val="center"/>
          </w:tcPr>
          <w:p w14:paraId="6A4DE73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49AD301B"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R$ 1.748,31</w:t>
            </w:r>
          </w:p>
        </w:tc>
      </w:tr>
      <w:tr w:rsidR="000E7E2D" w:rsidRPr="00FF19DD" w14:paraId="1A3885B8"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8A3081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217B190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R$ 3.539,45</w:t>
            </w:r>
          </w:p>
        </w:tc>
        <w:tc>
          <w:tcPr>
            <w:tcW w:w="1940" w:type="dxa"/>
            <w:tcBorders>
              <w:top w:val="nil"/>
              <w:left w:val="nil"/>
              <w:bottom w:val="single" w:sz="4" w:space="0" w:color="000000"/>
              <w:right w:val="single" w:sz="4" w:space="0" w:color="000000"/>
            </w:tcBorders>
            <w:shd w:val="clear" w:color="auto" w:fill="auto"/>
            <w:vAlign w:val="center"/>
          </w:tcPr>
          <w:p w14:paraId="0A7BE8F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4EA49016"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R$ 1.958,13</w:t>
            </w:r>
          </w:p>
        </w:tc>
      </w:tr>
      <w:tr w:rsidR="000E7E2D" w:rsidRPr="00FF19DD" w14:paraId="3A9EEDC0"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6EA2A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06202F0"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R$ 3.964,19</w:t>
            </w:r>
          </w:p>
        </w:tc>
        <w:tc>
          <w:tcPr>
            <w:tcW w:w="1940" w:type="dxa"/>
            <w:tcBorders>
              <w:top w:val="nil"/>
              <w:left w:val="nil"/>
              <w:bottom w:val="single" w:sz="4" w:space="0" w:color="000000"/>
              <w:right w:val="single" w:sz="4" w:space="0" w:color="000000"/>
            </w:tcBorders>
            <w:shd w:val="clear" w:color="auto" w:fill="auto"/>
            <w:vAlign w:val="center"/>
          </w:tcPr>
          <w:p w14:paraId="4B175BBF"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5A278ED2"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R$ 2.193,11</w:t>
            </w:r>
          </w:p>
        </w:tc>
      </w:tr>
      <w:tr w:rsidR="000E7E2D" w:rsidRPr="00FF19DD" w14:paraId="3254B1B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13A1F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239319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R$ 4.439,89</w:t>
            </w:r>
          </w:p>
        </w:tc>
        <w:tc>
          <w:tcPr>
            <w:tcW w:w="1940" w:type="dxa"/>
            <w:tcBorders>
              <w:top w:val="nil"/>
              <w:left w:val="nil"/>
              <w:bottom w:val="single" w:sz="4" w:space="0" w:color="000000"/>
              <w:right w:val="single" w:sz="4" w:space="0" w:color="000000"/>
            </w:tcBorders>
            <w:shd w:val="clear" w:color="auto" w:fill="auto"/>
            <w:vAlign w:val="center"/>
          </w:tcPr>
          <w:p w14:paraId="77300B7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09343151"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R$ 2.456,72</w:t>
            </w:r>
          </w:p>
        </w:tc>
      </w:tr>
      <w:tr w:rsidR="000E7E2D" w:rsidRPr="00FF19DD" w14:paraId="23DDD68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318ECA"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63FE420"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R$ 4.972,68</w:t>
            </w:r>
          </w:p>
        </w:tc>
        <w:tc>
          <w:tcPr>
            <w:tcW w:w="1940" w:type="dxa"/>
            <w:tcBorders>
              <w:top w:val="nil"/>
              <w:left w:val="nil"/>
              <w:bottom w:val="single" w:sz="4" w:space="0" w:color="000000"/>
              <w:right w:val="single" w:sz="4" w:space="0" w:color="000000"/>
            </w:tcBorders>
            <w:shd w:val="clear" w:color="auto" w:fill="auto"/>
            <w:vAlign w:val="center"/>
          </w:tcPr>
          <w:p w14:paraId="3C1F8C7F"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R$ 2.221,66</w:t>
            </w:r>
          </w:p>
        </w:tc>
        <w:tc>
          <w:tcPr>
            <w:tcW w:w="1940" w:type="dxa"/>
            <w:tcBorders>
              <w:top w:val="nil"/>
              <w:left w:val="nil"/>
              <w:bottom w:val="single" w:sz="4" w:space="0" w:color="000000"/>
              <w:right w:val="single" w:sz="4" w:space="0" w:color="000000"/>
            </w:tcBorders>
            <w:shd w:val="clear" w:color="auto" w:fill="auto"/>
            <w:vAlign w:val="bottom"/>
          </w:tcPr>
          <w:p w14:paraId="215DBB0E"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R$ 2.751,02</w:t>
            </w:r>
          </w:p>
        </w:tc>
      </w:tr>
      <w:tr w:rsidR="000E7E2D" w:rsidRPr="00FF19DD" w14:paraId="430E6FA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07C266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05DB099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R$ 5.569,40</w:t>
            </w:r>
          </w:p>
        </w:tc>
        <w:tc>
          <w:tcPr>
            <w:tcW w:w="1940" w:type="dxa"/>
            <w:tcBorders>
              <w:top w:val="nil"/>
              <w:left w:val="nil"/>
              <w:bottom w:val="single" w:sz="4" w:space="0" w:color="000000"/>
              <w:right w:val="single" w:sz="4" w:space="0" w:color="000000"/>
            </w:tcBorders>
            <w:shd w:val="clear" w:color="auto" w:fill="auto"/>
            <w:vAlign w:val="center"/>
          </w:tcPr>
          <w:p w14:paraId="3F0B2E6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2B003C1A"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R$ 3.081,15</w:t>
            </w:r>
          </w:p>
        </w:tc>
      </w:tr>
      <w:tr w:rsidR="000E7E2D" w:rsidRPr="00FF19DD" w14:paraId="79541342"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DD90EA"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1E0D2C8A"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R$ 6.237,73</w:t>
            </w:r>
          </w:p>
        </w:tc>
        <w:tc>
          <w:tcPr>
            <w:tcW w:w="1940" w:type="dxa"/>
            <w:tcBorders>
              <w:top w:val="nil"/>
              <w:left w:val="nil"/>
              <w:bottom w:val="single" w:sz="4" w:space="0" w:color="000000"/>
              <w:right w:val="single" w:sz="4" w:space="0" w:color="000000"/>
            </w:tcBorders>
            <w:shd w:val="clear" w:color="auto" w:fill="auto"/>
            <w:vAlign w:val="center"/>
          </w:tcPr>
          <w:p w14:paraId="7A72613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R$ 2.786,83</w:t>
            </w:r>
          </w:p>
        </w:tc>
        <w:tc>
          <w:tcPr>
            <w:tcW w:w="1940" w:type="dxa"/>
            <w:tcBorders>
              <w:top w:val="nil"/>
              <w:left w:val="nil"/>
              <w:bottom w:val="single" w:sz="4" w:space="0" w:color="000000"/>
              <w:right w:val="single" w:sz="4" w:space="0" w:color="000000"/>
            </w:tcBorders>
            <w:shd w:val="clear" w:color="auto" w:fill="auto"/>
            <w:vAlign w:val="bottom"/>
          </w:tcPr>
          <w:p w14:paraId="1107F524"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R$ 3.450,90</w:t>
            </w:r>
          </w:p>
        </w:tc>
      </w:tr>
      <w:tr w:rsidR="000E7E2D" w:rsidRPr="00FF19DD" w14:paraId="248A91BB"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2973B91F"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5791B4B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00000"/>
            <w:vAlign w:val="center"/>
          </w:tcPr>
          <w:p w14:paraId="0BCE1A1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00000"/>
            <w:vAlign w:val="center"/>
          </w:tcPr>
          <w:p w14:paraId="7CCB766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0E7E2D" w:rsidRPr="00FF19DD" w14:paraId="5320FAF0"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30588E0"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660E05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R$ 2.862,86</w:t>
            </w:r>
          </w:p>
        </w:tc>
        <w:tc>
          <w:tcPr>
            <w:tcW w:w="1940" w:type="dxa"/>
            <w:tcBorders>
              <w:top w:val="nil"/>
              <w:left w:val="nil"/>
              <w:bottom w:val="single" w:sz="4" w:space="0" w:color="000000"/>
              <w:right w:val="single" w:sz="4" w:space="0" w:color="000000"/>
            </w:tcBorders>
            <w:shd w:val="clear" w:color="auto" w:fill="auto"/>
            <w:vAlign w:val="center"/>
          </w:tcPr>
          <w:p w14:paraId="3D8AC02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0EFB20AB"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r>
      <w:tr w:rsidR="000E7E2D" w:rsidRPr="00FF19DD" w14:paraId="27E5727B"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47B99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1A74E49"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R$ 3.206,40</w:t>
            </w:r>
          </w:p>
        </w:tc>
        <w:tc>
          <w:tcPr>
            <w:tcW w:w="1940" w:type="dxa"/>
            <w:tcBorders>
              <w:top w:val="nil"/>
              <w:left w:val="nil"/>
              <w:bottom w:val="single" w:sz="4" w:space="0" w:color="000000"/>
              <w:right w:val="single" w:sz="4" w:space="0" w:color="000000"/>
            </w:tcBorders>
            <w:shd w:val="clear" w:color="auto" w:fill="auto"/>
            <w:vAlign w:val="center"/>
          </w:tcPr>
          <w:p w14:paraId="6A73397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1702FC5"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r>
      <w:tr w:rsidR="000E7E2D" w:rsidRPr="00FF19DD" w14:paraId="3FE1823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65B15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6050926B"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R$ 3.591,17</w:t>
            </w:r>
          </w:p>
        </w:tc>
        <w:tc>
          <w:tcPr>
            <w:tcW w:w="1940" w:type="dxa"/>
            <w:tcBorders>
              <w:top w:val="nil"/>
              <w:left w:val="nil"/>
              <w:bottom w:val="single" w:sz="4" w:space="0" w:color="000000"/>
              <w:right w:val="single" w:sz="4" w:space="0" w:color="000000"/>
            </w:tcBorders>
            <w:shd w:val="clear" w:color="auto" w:fill="auto"/>
            <w:vAlign w:val="center"/>
          </w:tcPr>
          <w:p w14:paraId="0E0E07D6"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R$ 2.206,09</w:t>
            </w:r>
          </w:p>
        </w:tc>
        <w:tc>
          <w:tcPr>
            <w:tcW w:w="1940" w:type="dxa"/>
            <w:tcBorders>
              <w:top w:val="nil"/>
              <w:left w:val="nil"/>
              <w:bottom w:val="single" w:sz="4" w:space="0" w:color="000000"/>
              <w:right w:val="single" w:sz="4" w:space="0" w:color="000000"/>
            </w:tcBorders>
            <w:shd w:val="clear" w:color="auto" w:fill="auto"/>
            <w:vAlign w:val="bottom"/>
          </w:tcPr>
          <w:p w14:paraId="4B4F64F9"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R$ 1.385,08</w:t>
            </w:r>
          </w:p>
        </w:tc>
      </w:tr>
      <w:tr w:rsidR="000E7E2D" w:rsidRPr="00FF19DD" w14:paraId="724B487F"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4C748E"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152054DD"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R$ 4.022,11</w:t>
            </w:r>
          </w:p>
        </w:tc>
        <w:tc>
          <w:tcPr>
            <w:tcW w:w="1940" w:type="dxa"/>
            <w:tcBorders>
              <w:top w:val="nil"/>
              <w:left w:val="nil"/>
              <w:bottom w:val="single" w:sz="4" w:space="0" w:color="000000"/>
              <w:right w:val="single" w:sz="4" w:space="0" w:color="000000"/>
            </w:tcBorders>
            <w:shd w:val="clear" w:color="auto" w:fill="auto"/>
            <w:vAlign w:val="center"/>
          </w:tcPr>
          <w:p w14:paraId="14645DA2"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R$ 2.470,84</w:t>
            </w:r>
          </w:p>
        </w:tc>
        <w:tc>
          <w:tcPr>
            <w:tcW w:w="1940" w:type="dxa"/>
            <w:tcBorders>
              <w:top w:val="nil"/>
              <w:left w:val="nil"/>
              <w:bottom w:val="single" w:sz="4" w:space="0" w:color="000000"/>
              <w:right w:val="single" w:sz="4" w:space="0" w:color="000000"/>
            </w:tcBorders>
            <w:shd w:val="clear" w:color="auto" w:fill="auto"/>
            <w:vAlign w:val="bottom"/>
          </w:tcPr>
          <w:p w14:paraId="6968BDEE"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R$ 1.551,27</w:t>
            </w:r>
          </w:p>
        </w:tc>
      </w:tr>
      <w:tr w:rsidR="000E7E2D" w:rsidRPr="00FF19DD" w14:paraId="65DCA09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D2925B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3E981DB8"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R$ 4.504,76</w:t>
            </w:r>
          </w:p>
        </w:tc>
        <w:tc>
          <w:tcPr>
            <w:tcW w:w="1940" w:type="dxa"/>
            <w:tcBorders>
              <w:top w:val="nil"/>
              <w:left w:val="nil"/>
              <w:bottom w:val="single" w:sz="4" w:space="0" w:color="000000"/>
              <w:right w:val="single" w:sz="4" w:space="0" w:color="000000"/>
            </w:tcBorders>
            <w:shd w:val="clear" w:color="auto" w:fill="auto"/>
            <w:vAlign w:val="center"/>
          </w:tcPr>
          <w:p w14:paraId="6CB8DF94"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R$ 2.767,33</w:t>
            </w:r>
          </w:p>
        </w:tc>
        <w:tc>
          <w:tcPr>
            <w:tcW w:w="1940" w:type="dxa"/>
            <w:tcBorders>
              <w:top w:val="nil"/>
              <w:left w:val="nil"/>
              <w:bottom w:val="single" w:sz="4" w:space="0" w:color="000000"/>
              <w:right w:val="single" w:sz="4" w:space="0" w:color="000000"/>
            </w:tcBorders>
            <w:shd w:val="clear" w:color="auto" w:fill="auto"/>
            <w:vAlign w:val="bottom"/>
          </w:tcPr>
          <w:p w14:paraId="0B661267"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R$ 1.737,43</w:t>
            </w:r>
          </w:p>
        </w:tc>
      </w:tr>
      <w:tr w:rsidR="000E7E2D" w:rsidRPr="00FF19DD" w14:paraId="00C3545B"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C0A3412"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E7C879C"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R$ 5.045,33</w:t>
            </w:r>
          </w:p>
        </w:tc>
        <w:tc>
          <w:tcPr>
            <w:tcW w:w="1940" w:type="dxa"/>
            <w:tcBorders>
              <w:top w:val="nil"/>
              <w:left w:val="nil"/>
              <w:bottom w:val="single" w:sz="4" w:space="0" w:color="000000"/>
              <w:right w:val="single" w:sz="4" w:space="0" w:color="000000"/>
            </w:tcBorders>
            <w:shd w:val="clear" w:color="auto" w:fill="auto"/>
            <w:vAlign w:val="center"/>
          </w:tcPr>
          <w:p w14:paraId="5A6B22D1"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R$ 3.099,41</w:t>
            </w:r>
          </w:p>
        </w:tc>
        <w:tc>
          <w:tcPr>
            <w:tcW w:w="1940" w:type="dxa"/>
            <w:tcBorders>
              <w:top w:val="nil"/>
              <w:left w:val="nil"/>
              <w:bottom w:val="single" w:sz="4" w:space="0" w:color="000000"/>
              <w:right w:val="single" w:sz="4" w:space="0" w:color="000000"/>
            </w:tcBorders>
            <w:shd w:val="clear" w:color="auto" w:fill="auto"/>
            <w:vAlign w:val="bottom"/>
          </w:tcPr>
          <w:p w14:paraId="5B23A023"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R$ 1.945,92</w:t>
            </w:r>
          </w:p>
        </w:tc>
      </w:tr>
      <w:tr w:rsidR="000E7E2D" w:rsidRPr="00FF19DD" w14:paraId="426BD81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087E147"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57DA3FCD"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R$ 5.650,77</w:t>
            </w:r>
          </w:p>
        </w:tc>
        <w:tc>
          <w:tcPr>
            <w:tcW w:w="1940" w:type="dxa"/>
            <w:tcBorders>
              <w:top w:val="nil"/>
              <w:left w:val="nil"/>
              <w:bottom w:val="single" w:sz="4" w:space="0" w:color="000000"/>
              <w:right w:val="single" w:sz="4" w:space="0" w:color="000000"/>
            </w:tcBorders>
            <w:shd w:val="clear" w:color="auto" w:fill="auto"/>
            <w:vAlign w:val="center"/>
          </w:tcPr>
          <w:p w14:paraId="6ACE8D10"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R$ 3.471,33</w:t>
            </w:r>
          </w:p>
        </w:tc>
        <w:tc>
          <w:tcPr>
            <w:tcW w:w="1940" w:type="dxa"/>
            <w:tcBorders>
              <w:top w:val="nil"/>
              <w:left w:val="nil"/>
              <w:bottom w:val="single" w:sz="4" w:space="0" w:color="000000"/>
              <w:right w:val="single" w:sz="4" w:space="0" w:color="000000"/>
            </w:tcBorders>
            <w:shd w:val="clear" w:color="auto" w:fill="auto"/>
            <w:vAlign w:val="bottom"/>
          </w:tcPr>
          <w:p w14:paraId="110686BE"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R$ 2.179,44</w:t>
            </w:r>
          </w:p>
        </w:tc>
      </w:tr>
      <w:tr w:rsidR="000E7E2D" w:rsidRPr="00FF19DD" w14:paraId="05E2E08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E4E3650"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lastRenderedPageBreak/>
              <w:t>Nível 08</w:t>
            </w:r>
          </w:p>
        </w:tc>
        <w:tc>
          <w:tcPr>
            <w:tcW w:w="1920" w:type="dxa"/>
            <w:tcBorders>
              <w:top w:val="nil"/>
              <w:left w:val="nil"/>
              <w:bottom w:val="single" w:sz="4" w:space="0" w:color="000000"/>
              <w:right w:val="single" w:sz="4" w:space="0" w:color="000000"/>
            </w:tcBorders>
            <w:shd w:val="clear" w:color="auto" w:fill="auto"/>
            <w:vAlign w:val="center"/>
          </w:tcPr>
          <w:p w14:paraId="59865EDF"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R$ 6.328,86</w:t>
            </w:r>
          </w:p>
        </w:tc>
        <w:tc>
          <w:tcPr>
            <w:tcW w:w="1940" w:type="dxa"/>
            <w:tcBorders>
              <w:top w:val="nil"/>
              <w:left w:val="nil"/>
              <w:bottom w:val="single" w:sz="4" w:space="0" w:color="000000"/>
              <w:right w:val="single" w:sz="4" w:space="0" w:color="000000"/>
            </w:tcBorders>
            <w:shd w:val="clear" w:color="auto" w:fill="auto"/>
            <w:vAlign w:val="center"/>
          </w:tcPr>
          <w:p w14:paraId="12F2799D"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R$ 3.887,89</w:t>
            </w:r>
          </w:p>
        </w:tc>
        <w:tc>
          <w:tcPr>
            <w:tcW w:w="1940" w:type="dxa"/>
            <w:tcBorders>
              <w:top w:val="nil"/>
              <w:left w:val="nil"/>
              <w:bottom w:val="single" w:sz="4" w:space="0" w:color="000000"/>
              <w:right w:val="single" w:sz="4" w:space="0" w:color="000000"/>
            </w:tcBorders>
            <w:shd w:val="clear" w:color="auto" w:fill="auto"/>
            <w:vAlign w:val="bottom"/>
          </w:tcPr>
          <w:p w14:paraId="7B304563"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R$ 2.440,97</w:t>
            </w:r>
          </w:p>
        </w:tc>
      </w:tr>
      <w:tr w:rsidR="000E7E2D" w:rsidRPr="00FF19DD" w14:paraId="3AADAB9B"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BCB59F3"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7346BC1B"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R$ 7.088,33</w:t>
            </w:r>
          </w:p>
        </w:tc>
        <w:tc>
          <w:tcPr>
            <w:tcW w:w="1940" w:type="dxa"/>
            <w:tcBorders>
              <w:top w:val="nil"/>
              <w:left w:val="nil"/>
              <w:bottom w:val="single" w:sz="4" w:space="0" w:color="000000"/>
              <w:right w:val="single" w:sz="4" w:space="0" w:color="000000"/>
            </w:tcBorders>
            <w:shd w:val="clear" w:color="auto" w:fill="auto"/>
            <w:vAlign w:val="center"/>
          </w:tcPr>
          <w:p w14:paraId="7BAB4952" w14:textId="77777777" w:rsidR="000E7E2D" w:rsidRPr="00FF19DD" w:rsidRDefault="000E7E2D" w:rsidP="00DE5E0A">
            <w:pPr>
              <w:jc w:val="center"/>
              <w:rPr>
                <w:rFonts w:ascii="Garamond" w:eastAsia="Calibri" w:hAnsi="Garamond"/>
                <w:color w:val="000000"/>
                <w:sz w:val="22"/>
                <w:szCs w:val="22"/>
              </w:rPr>
            </w:pPr>
            <w:r w:rsidRPr="00FF19DD">
              <w:rPr>
                <w:rFonts w:ascii="Garamond" w:eastAsia="Calibri" w:hAnsi="Garamond"/>
                <w:color w:val="000000"/>
                <w:sz w:val="22"/>
                <w:szCs w:val="22"/>
              </w:rPr>
              <w:t>R$ 4.354,45</w:t>
            </w:r>
          </w:p>
        </w:tc>
        <w:tc>
          <w:tcPr>
            <w:tcW w:w="1940" w:type="dxa"/>
            <w:tcBorders>
              <w:top w:val="nil"/>
              <w:left w:val="nil"/>
              <w:bottom w:val="single" w:sz="4" w:space="0" w:color="000000"/>
              <w:right w:val="single" w:sz="4" w:space="0" w:color="000000"/>
            </w:tcBorders>
            <w:shd w:val="clear" w:color="auto" w:fill="auto"/>
            <w:vAlign w:val="bottom"/>
          </w:tcPr>
          <w:p w14:paraId="7528D62E" w14:textId="77777777" w:rsidR="000E7E2D" w:rsidRPr="00FF19DD" w:rsidRDefault="000E7E2D" w:rsidP="00DE5E0A">
            <w:pPr>
              <w:jc w:val="center"/>
              <w:rPr>
                <w:rFonts w:ascii="Garamond" w:eastAsia="Calibri" w:hAnsi="Garamond"/>
                <w:color w:val="FF0000"/>
                <w:sz w:val="22"/>
                <w:szCs w:val="22"/>
              </w:rPr>
            </w:pPr>
            <w:r w:rsidRPr="00FF19DD">
              <w:rPr>
                <w:rFonts w:ascii="Garamond" w:eastAsia="Calibri" w:hAnsi="Garamond"/>
                <w:color w:val="FF0000"/>
                <w:sz w:val="22"/>
                <w:szCs w:val="22"/>
              </w:rPr>
              <w:t>R$ 2.733,87</w:t>
            </w:r>
          </w:p>
        </w:tc>
      </w:tr>
      <w:tr w:rsidR="000E7E2D" w:rsidRPr="004F434F" w14:paraId="2DC2C828"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339D2DC1"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2FF113CA"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4E90FB95"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2B105CBF"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Pr>
                <w:rFonts w:ascii="Garamond" w:eastAsia="Calibri" w:hAnsi="Garamond"/>
                <w:color w:val="000000"/>
                <w:sz w:val="22"/>
                <w:szCs w:val="22"/>
              </w:rPr>
              <w:t>4</w:t>
            </w:r>
          </w:p>
        </w:tc>
      </w:tr>
      <w:tr w:rsidR="000E7E2D" w:rsidRPr="004F434F" w14:paraId="278F5C01"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48565EC"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2CA3DBD6"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R$ 3.435,43</w:t>
            </w:r>
          </w:p>
        </w:tc>
        <w:tc>
          <w:tcPr>
            <w:tcW w:w="1940" w:type="dxa"/>
            <w:tcBorders>
              <w:top w:val="nil"/>
              <w:left w:val="nil"/>
              <w:bottom w:val="single" w:sz="4" w:space="0" w:color="000000"/>
              <w:right w:val="single" w:sz="4" w:space="0" w:color="000000"/>
            </w:tcBorders>
            <w:shd w:val="clear" w:color="auto" w:fill="auto"/>
            <w:vAlign w:val="center"/>
          </w:tcPr>
          <w:p w14:paraId="25357710"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0F255DE2"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0E7E2D" w:rsidRPr="004F434F" w14:paraId="47C67764"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1C94EFB"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2E7CAFF"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R$ 3.847,68</w:t>
            </w:r>
          </w:p>
        </w:tc>
        <w:tc>
          <w:tcPr>
            <w:tcW w:w="1940" w:type="dxa"/>
            <w:tcBorders>
              <w:top w:val="nil"/>
              <w:left w:val="nil"/>
              <w:bottom w:val="single" w:sz="4" w:space="0" w:color="000000"/>
              <w:right w:val="single" w:sz="4" w:space="0" w:color="000000"/>
            </w:tcBorders>
            <w:shd w:val="clear" w:color="auto" w:fill="auto"/>
            <w:vAlign w:val="center"/>
          </w:tcPr>
          <w:p w14:paraId="71639457"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143EC98A"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0E7E2D" w:rsidRPr="004F434F" w14:paraId="36E60E79"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3DF2360"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25CF0DE"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R$ 4.309,40</w:t>
            </w:r>
          </w:p>
        </w:tc>
        <w:tc>
          <w:tcPr>
            <w:tcW w:w="1940" w:type="dxa"/>
            <w:tcBorders>
              <w:top w:val="nil"/>
              <w:left w:val="nil"/>
              <w:bottom w:val="single" w:sz="4" w:space="0" w:color="000000"/>
              <w:right w:val="single" w:sz="4" w:space="0" w:color="000000"/>
            </w:tcBorders>
            <w:shd w:val="clear" w:color="auto" w:fill="auto"/>
            <w:vAlign w:val="center"/>
          </w:tcPr>
          <w:p w14:paraId="02914A12"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R$ 2.647,31</w:t>
            </w:r>
          </w:p>
        </w:tc>
        <w:tc>
          <w:tcPr>
            <w:tcW w:w="1940" w:type="dxa"/>
            <w:tcBorders>
              <w:top w:val="nil"/>
              <w:left w:val="nil"/>
              <w:bottom w:val="single" w:sz="4" w:space="0" w:color="000000"/>
              <w:right w:val="single" w:sz="4" w:space="0" w:color="000000"/>
            </w:tcBorders>
            <w:shd w:val="clear" w:color="auto" w:fill="auto"/>
            <w:vAlign w:val="bottom"/>
          </w:tcPr>
          <w:p w14:paraId="1AD34AB7"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R$ 1.662,09</w:t>
            </w:r>
          </w:p>
        </w:tc>
      </w:tr>
      <w:tr w:rsidR="000E7E2D" w:rsidRPr="004F434F" w14:paraId="50DF5C38"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2C60715"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20A8346"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R$ 4.826,53</w:t>
            </w:r>
          </w:p>
        </w:tc>
        <w:tc>
          <w:tcPr>
            <w:tcW w:w="1940" w:type="dxa"/>
            <w:tcBorders>
              <w:top w:val="nil"/>
              <w:left w:val="nil"/>
              <w:bottom w:val="single" w:sz="4" w:space="0" w:color="000000"/>
              <w:right w:val="single" w:sz="4" w:space="0" w:color="000000"/>
            </w:tcBorders>
            <w:shd w:val="clear" w:color="auto" w:fill="auto"/>
            <w:vAlign w:val="center"/>
          </w:tcPr>
          <w:p w14:paraId="185AFBAF"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R$ 2.964,98</w:t>
            </w:r>
          </w:p>
        </w:tc>
        <w:tc>
          <w:tcPr>
            <w:tcW w:w="1940" w:type="dxa"/>
            <w:tcBorders>
              <w:top w:val="nil"/>
              <w:left w:val="nil"/>
              <w:bottom w:val="single" w:sz="4" w:space="0" w:color="000000"/>
              <w:right w:val="single" w:sz="4" w:space="0" w:color="000000"/>
            </w:tcBorders>
            <w:shd w:val="clear" w:color="auto" w:fill="auto"/>
            <w:vAlign w:val="bottom"/>
          </w:tcPr>
          <w:p w14:paraId="757627BC"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R$ 1.861,54</w:t>
            </w:r>
          </w:p>
        </w:tc>
      </w:tr>
      <w:tr w:rsidR="000E7E2D" w:rsidRPr="004F434F" w14:paraId="17CE1C5A"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3E1B32D"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24A38F3B"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R$ 5.405,71</w:t>
            </w:r>
          </w:p>
        </w:tc>
        <w:tc>
          <w:tcPr>
            <w:tcW w:w="1940" w:type="dxa"/>
            <w:tcBorders>
              <w:top w:val="nil"/>
              <w:left w:val="nil"/>
              <w:bottom w:val="single" w:sz="4" w:space="0" w:color="000000"/>
              <w:right w:val="single" w:sz="4" w:space="0" w:color="000000"/>
            </w:tcBorders>
            <w:shd w:val="clear" w:color="auto" w:fill="auto"/>
            <w:vAlign w:val="center"/>
          </w:tcPr>
          <w:p w14:paraId="31BA81A8"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R$ 3.516,71</w:t>
            </w:r>
          </w:p>
        </w:tc>
        <w:tc>
          <w:tcPr>
            <w:tcW w:w="1940" w:type="dxa"/>
            <w:tcBorders>
              <w:top w:val="nil"/>
              <w:left w:val="nil"/>
              <w:bottom w:val="single" w:sz="4" w:space="0" w:color="000000"/>
              <w:right w:val="single" w:sz="4" w:space="0" w:color="000000"/>
            </w:tcBorders>
            <w:shd w:val="clear" w:color="auto" w:fill="auto"/>
            <w:vAlign w:val="bottom"/>
          </w:tcPr>
          <w:p w14:paraId="5B0CDED9"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R$ 1.889,01</w:t>
            </w:r>
          </w:p>
        </w:tc>
      </w:tr>
      <w:tr w:rsidR="000E7E2D" w:rsidRPr="004F434F" w14:paraId="69A72EAC"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22634A"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1747E960"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R$ 6.054,40</w:t>
            </w:r>
          </w:p>
        </w:tc>
        <w:tc>
          <w:tcPr>
            <w:tcW w:w="1940" w:type="dxa"/>
            <w:tcBorders>
              <w:top w:val="nil"/>
              <w:left w:val="nil"/>
              <w:bottom w:val="single" w:sz="4" w:space="0" w:color="000000"/>
              <w:right w:val="single" w:sz="4" w:space="0" w:color="000000"/>
            </w:tcBorders>
            <w:shd w:val="clear" w:color="auto" w:fill="auto"/>
            <w:vAlign w:val="center"/>
          </w:tcPr>
          <w:p w14:paraId="3CD0B309"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R$ 3.718,43</w:t>
            </w:r>
          </w:p>
        </w:tc>
        <w:tc>
          <w:tcPr>
            <w:tcW w:w="1940" w:type="dxa"/>
            <w:tcBorders>
              <w:top w:val="nil"/>
              <w:left w:val="nil"/>
              <w:bottom w:val="single" w:sz="4" w:space="0" w:color="000000"/>
              <w:right w:val="single" w:sz="4" w:space="0" w:color="000000"/>
            </w:tcBorders>
            <w:shd w:val="clear" w:color="auto" w:fill="auto"/>
            <w:vAlign w:val="bottom"/>
          </w:tcPr>
          <w:p w14:paraId="2D712BB9"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R$ 2.335,97</w:t>
            </w:r>
          </w:p>
        </w:tc>
      </w:tr>
      <w:tr w:rsidR="000E7E2D" w:rsidRPr="004F434F" w14:paraId="4C145753"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DB66DDA"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6AA11737"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R$ 6.780,92</w:t>
            </w:r>
          </w:p>
        </w:tc>
        <w:tc>
          <w:tcPr>
            <w:tcW w:w="1940" w:type="dxa"/>
            <w:tcBorders>
              <w:top w:val="nil"/>
              <w:left w:val="nil"/>
              <w:bottom w:val="single" w:sz="4" w:space="0" w:color="000000"/>
              <w:right w:val="single" w:sz="4" w:space="0" w:color="000000"/>
            </w:tcBorders>
            <w:shd w:val="clear" w:color="auto" w:fill="auto"/>
            <w:vAlign w:val="center"/>
          </w:tcPr>
          <w:p w14:paraId="41047CB6"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R$ 4.165,60</w:t>
            </w:r>
          </w:p>
        </w:tc>
        <w:tc>
          <w:tcPr>
            <w:tcW w:w="1940" w:type="dxa"/>
            <w:tcBorders>
              <w:top w:val="nil"/>
              <w:left w:val="nil"/>
              <w:bottom w:val="single" w:sz="4" w:space="0" w:color="000000"/>
              <w:right w:val="single" w:sz="4" w:space="0" w:color="000000"/>
            </w:tcBorders>
            <w:shd w:val="clear" w:color="auto" w:fill="auto"/>
            <w:vAlign w:val="bottom"/>
          </w:tcPr>
          <w:p w14:paraId="643122E3"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R$ 2.615,33</w:t>
            </w:r>
          </w:p>
        </w:tc>
      </w:tr>
      <w:tr w:rsidR="000E7E2D" w:rsidRPr="004F434F" w14:paraId="4DD1907B"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366E478"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D5796D9"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R$ 7.594,64</w:t>
            </w:r>
          </w:p>
        </w:tc>
        <w:tc>
          <w:tcPr>
            <w:tcW w:w="1940" w:type="dxa"/>
            <w:tcBorders>
              <w:top w:val="nil"/>
              <w:left w:val="nil"/>
              <w:bottom w:val="single" w:sz="4" w:space="0" w:color="000000"/>
              <w:right w:val="single" w:sz="4" w:space="0" w:color="000000"/>
            </w:tcBorders>
            <w:shd w:val="clear" w:color="auto" w:fill="auto"/>
            <w:vAlign w:val="center"/>
          </w:tcPr>
          <w:p w14:paraId="0442F913"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R$ 4.665,47</w:t>
            </w:r>
          </w:p>
        </w:tc>
        <w:tc>
          <w:tcPr>
            <w:tcW w:w="1940" w:type="dxa"/>
            <w:tcBorders>
              <w:top w:val="nil"/>
              <w:left w:val="nil"/>
              <w:bottom w:val="single" w:sz="4" w:space="0" w:color="000000"/>
              <w:right w:val="single" w:sz="4" w:space="0" w:color="000000"/>
            </w:tcBorders>
            <w:shd w:val="clear" w:color="auto" w:fill="auto"/>
            <w:vAlign w:val="bottom"/>
          </w:tcPr>
          <w:p w14:paraId="1859F325"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R$ 2.929,16</w:t>
            </w:r>
          </w:p>
        </w:tc>
      </w:tr>
      <w:tr w:rsidR="000E7E2D" w:rsidRPr="004F434F" w14:paraId="34473127" w14:textId="77777777" w:rsidTr="00DE5E0A">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A0A7CE" w14:textId="77777777" w:rsidR="000E7E2D" w:rsidRPr="004F434F" w:rsidRDefault="000E7E2D" w:rsidP="00DE5E0A">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D5283F8" w14:textId="77777777" w:rsidR="000E7E2D" w:rsidRPr="004F434F" w:rsidRDefault="000E7E2D" w:rsidP="00DE5E0A">
            <w:pPr>
              <w:jc w:val="center"/>
              <w:rPr>
                <w:rFonts w:ascii="Garamond" w:eastAsia="Calibri" w:hAnsi="Garamond"/>
                <w:color w:val="000000"/>
                <w:sz w:val="22"/>
                <w:szCs w:val="22"/>
              </w:rPr>
            </w:pPr>
            <w:r w:rsidRPr="00D27E86">
              <w:rPr>
                <w:rFonts w:ascii="Garamond" w:eastAsia="Calibri" w:hAnsi="Garamond"/>
                <w:color w:val="000000"/>
                <w:sz w:val="22"/>
                <w:szCs w:val="22"/>
              </w:rPr>
              <w:t>R$ 8.505,99</w:t>
            </w:r>
          </w:p>
        </w:tc>
        <w:tc>
          <w:tcPr>
            <w:tcW w:w="1940" w:type="dxa"/>
            <w:tcBorders>
              <w:top w:val="nil"/>
              <w:left w:val="nil"/>
              <w:bottom w:val="single" w:sz="4" w:space="0" w:color="000000"/>
              <w:right w:val="single" w:sz="4" w:space="0" w:color="000000"/>
            </w:tcBorders>
            <w:shd w:val="clear" w:color="auto" w:fill="auto"/>
            <w:vAlign w:val="center"/>
          </w:tcPr>
          <w:p w14:paraId="419D9DEE" w14:textId="77777777" w:rsidR="000E7E2D" w:rsidRPr="004F434F" w:rsidRDefault="000E7E2D" w:rsidP="00DE5E0A">
            <w:pPr>
              <w:jc w:val="center"/>
              <w:rPr>
                <w:rFonts w:ascii="Garamond" w:eastAsia="Calibri" w:hAnsi="Garamond"/>
                <w:color w:val="000000"/>
                <w:sz w:val="22"/>
                <w:szCs w:val="22"/>
              </w:rPr>
            </w:pPr>
            <w:r w:rsidRPr="003457F7">
              <w:rPr>
                <w:rFonts w:ascii="Garamond" w:eastAsia="Calibri" w:hAnsi="Garamond"/>
                <w:color w:val="000000"/>
                <w:sz w:val="22"/>
                <w:szCs w:val="22"/>
              </w:rPr>
              <w:t>R$ 5.225,32</w:t>
            </w:r>
          </w:p>
        </w:tc>
        <w:tc>
          <w:tcPr>
            <w:tcW w:w="1940" w:type="dxa"/>
            <w:tcBorders>
              <w:top w:val="nil"/>
              <w:left w:val="nil"/>
              <w:bottom w:val="single" w:sz="4" w:space="0" w:color="000000"/>
              <w:right w:val="single" w:sz="4" w:space="0" w:color="000000"/>
            </w:tcBorders>
            <w:shd w:val="clear" w:color="auto" w:fill="auto"/>
            <w:vAlign w:val="bottom"/>
          </w:tcPr>
          <w:p w14:paraId="56C08F52" w14:textId="77777777" w:rsidR="000E7E2D" w:rsidRPr="00497D9F" w:rsidRDefault="000E7E2D" w:rsidP="00DE5E0A">
            <w:pPr>
              <w:jc w:val="center"/>
              <w:rPr>
                <w:rFonts w:ascii="Garamond" w:eastAsia="Calibri" w:hAnsi="Garamond"/>
                <w:color w:val="FF0000"/>
                <w:sz w:val="22"/>
                <w:szCs w:val="22"/>
              </w:rPr>
            </w:pPr>
            <w:r w:rsidRPr="00497D9F">
              <w:rPr>
                <w:rFonts w:ascii="Garamond" w:eastAsia="Calibri" w:hAnsi="Garamond"/>
                <w:color w:val="FF0000"/>
                <w:sz w:val="22"/>
                <w:szCs w:val="22"/>
              </w:rPr>
              <w:t>R$ 3.280,67</w:t>
            </w:r>
          </w:p>
        </w:tc>
      </w:tr>
    </w:tbl>
    <w:p w14:paraId="27E20F6F" w14:textId="2676EBB8" w:rsidR="00A77CBB" w:rsidRDefault="00A77CBB" w:rsidP="00A77CBB">
      <w:pPr>
        <w:spacing w:line="360" w:lineRule="auto"/>
        <w:ind w:firstLine="709"/>
        <w:jc w:val="both"/>
        <w:rPr>
          <w:rFonts w:eastAsia="Calibri"/>
          <w:color w:val="000000"/>
          <w:sz w:val="22"/>
          <w:szCs w:val="22"/>
        </w:rPr>
      </w:pPr>
    </w:p>
    <w:p w14:paraId="0AEAD6CF" w14:textId="77777777" w:rsidR="00F14986" w:rsidRDefault="00F14986" w:rsidP="00F14986">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6E3F7EC4" w14:textId="77777777" w:rsidR="00F14986" w:rsidRDefault="00F14986" w:rsidP="000E7E2D">
      <w:pPr>
        <w:ind w:firstLine="1134"/>
        <w:jc w:val="both"/>
        <w:rPr>
          <w:rFonts w:eastAsia="Calibri"/>
        </w:rPr>
      </w:pPr>
    </w:p>
    <w:p w14:paraId="14EF0E8E" w14:textId="173AD4A8" w:rsidR="00F14986" w:rsidRPr="008E169B" w:rsidRDefault="00F14986" w:rsidP="00F14986">
      <w:pPr>
        <w:jc w:val="center"/>
        <w:rPr>
          <w:b/>
          <w:smallCaps/>
          <w:color w:val="5B9BD5"/>
          <w:u w:val="single"/>
        </w:rPr>
      </w:pPr>
      <w:r>
        <w:rPr>
          <w:b/>
          <w:smallCaps/>
          <w:color w:val="5B9BD5"/>
          <w:u w:val="single"/>
        </w:rPr>
        <w:t xml:space="preserve">Do princípio da separação dos poderes | impossibilidade de </w:t>
      </w:r>
      <w:r w:rsidRPr="008E169B">
        <w:rPr>
          <w:b/>
          <w:smallCaps/>
          <w:color w:val="5B9BD5"/>
          <w:u w:val="single"/>
        </w:rPr>
        <w:t>vinculação remuneratória</w:t>
      </w:r>
    </w:p>
    <w:p w14:paraId="320E200C" w14:textId="77777777" w:rsidR="00F14986" w:rsidRDefault="00F14986" w:rsidP="00F14986">
      <w:pPr>
        <w:ind w:firstLine="709"/>
        <w:jc w:val="both"/>
        <w:rPr>
          <w:rFonts w:eastAsia="Calibri"/>
        </w:rPr>
      </w:pPr>
    </w:p>
    <w:p w14:paraId="62F04A9E" w14:textId="77777777" w:rsidR="00F14986" w:rsidRDefault="00F14986" w:rsidP="00F14986">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376B7C92" w14:textId="77777777" w:rsidR="00F14986" w:rsidRDefault="00F14986" w:rsidP="000E7E2D">
      <w:pPr>
        <w:ind w:firstLine="1134"/>
        <w:jc w:val="both"/>
      </w:pPr>
    </w:p>
    <w:p w14:paraId="3196B978" w14:textId="77777777" w:rsidR="00F14986" w:rsidRDefault="00F14986" w:rsidP="00F14986">
      <w:pPr>
        <w:spacing w:line="360" w:lineRule="auto"/>
        <w:ind w:firstLine="1134"/>
        <w:jc w:val="both"/>
      </w:pPr>
      <w:r>
        <w:t xml:space="preserve">Quanto </w:t>
      </w:r>
      <w:proofErr w:type="gramStart"/>
      <w:r>
        <w:t>ao o</w:t>
      </w:r>
      <w:proofErr w:type="gramEnd"/>
      <w:r>
        <w:t xml:space="preserve"> princípio da separação dos poderes, este não impede que o Poder Judiciário intervenha caso haja lesão ou ameaça a direito, consoante art. 5°, XXXV, da CRFB/88, razão pela qual a irresignação do Estado não deve prosperar.</w:t>
      </w:r>
    </w:p>
    <w:p w14:paraId="7E55EE8E" w14:textId="77777777" w:rsidR="00F14986" w:rsidRDefault="00F14986" w:rsidP="000E7E2D">
      <w:pPr>
        <w:ind w:firstLine="1134"/>
        <w:jc w:val="both"/>
      </w:pPr>
    </w:p>
    <w:p w14:paraId="41ADC61B" w14:textId="77777777" w:rsidR="00F14986" w:rsidRDefault="00F14986" w:rsidP="00F14986">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4295D1D9" w14:textId="77777777" w:rsidR="00F14986" w:rsidRPr="007A253C" w:rsidRDefault="00F14986" w:rsidP="00F14986">
      <w:pPr>
        <w:ind w:firstLine="1134"/>
        <w:jc w:val="both"/>
        <w:rPr>
          <w:sz w:val="14"/>
        </w:rPr>
      </w:pPr>
    </w:p>
    <w:p w14:paraId="08A05C16" w14:textId="30DEDEA6" w:rsidR="00F14986" w:rsidRPr="008E169B" w:rsidRDefault="00F14986" w:rsidP="00F14986">
      <w:pPr>
        <w:jc w:val="center"/>
        <w:rPr>
          <w:b/>
          <w:smallCaps/>
          <w:color w:val="5B9BD5"/>
          <w:u w:val="single"/>
        </w:rPr>
      </w:pPr>
      <w:r>
        <w:rPr>
          <w:b/>
          <w:smallCaps/>
          <w:color w:val="5B9BD5"/>
          <w:u w:val="single"/>
        </w:rPr>
        <w:t xml:space="preserve">Da modulação da </w:t>
      </w:r>
      <w:proofErr w:type="spellStart"/>
      <w:r>
        <w:rPr>
          <w:b/>
          <w:smallCaps/>
          <w:color w:val="5B9BD5"/>
          <w:u w:val="single"/>
        </w:rPr>
        <w:t>ADIn</w:t>
      </w:r>
      <w:proofErr w:type="spellEnd"/>
      <w:r>
        <w:rPr>
          <w:b/>
          <w:smallCaps/>
          <w:color w:val="5B9BD5"/>
          <w:u w:val="single"/>
        </w:rPr>
        <w:t xml:space="preserve"> 4.167</w:t>
      </w:r>
    </w:p>
    <w:p w14:paraId="0AF95AD6" w14:textId="77777777" w:rsidR="00F14986" w:rsidRDefault="00F14986" w:rsidP="00F14986">
      <w:pPr>
        <w:ind w:firstLine="709"/>
        <w:jc w:val="both"/>
        <w:rPr>
          <w:rFonts w:eastAsia="Calibri"/>
        </w:rPr>
      </w:pPr>
    </w:p>
    <w:p w14:paraId="1B1E88FA" w14:textId="77777777" w:rsidR="00F14986" w:rsidRDefault="00F14986" w:rsidP="00F14986">
      <w:pPr>
        <w:spacing w:line="360" w:lineRule="auto"/>
        <w:ind w:firstLine="1134"/>
        <w:jc w:val="both"/>
      </w:pPr>
      <w:r>
        <w:t xml:space="preserve">O ERJ traz alegação que não foi possível a compreensão. Ora, a modulação dos efeitos, em sede de Embargos de Declaração, na referida ADI que estabeleceu que a Lei nº 11.738/2008 </w:t>
      </w:r>
      <w:r>
        <w:lastRenderedPageBreak/>
        <w:t>passou a ser aplicável a partir de 27.04.2011, os pedidos da ação em comento se referem a período posterior ao ano de 2011.</w:t>
      </w:r>
    </w:p>
    <w:p w14:paraId="7D79B25D" w14:textId="77777777" w:rsidR="00F14986" w:rsidRPr="007A253C" w:rsidRDefault="00F14986" w:rsidP="00F14986">
      <w:pPr>
        <w:ind w:firstLine="1134"/>
        <w:jc w:val="both"/>
        <w:rPr>
          <w:sz w:val="16"/>
        </w:rPr>
      </w:pPr>
    </w:p>
    <w:p w14:paraId="40BC87EE" w14:textId="77777777" w:rsidR="00F14986" w:rsidRDefault="00F14986" w:rsidP="00F14986">
      <w:pPr>
        <w:spacing w:line="360" w:lineRule="auto"/>
        <w:ind w:firstLine="1134"/>
        <w:jc w:val="both"/>
      </w:pPr>
      <w:r>
        <w:t xml:space="preserve">O ponto apenas destaca a característica genérica da defesa do ente. </w:t>
      </w:r>
    </w:p>
    <w:p w14:paraId="1BB78FE7" w14:textId="77777777" w:rsidR="00F14986" w:rsidRPr="007A253C" w:rsidRDefault="00F14986" w:rsidP="00F14986">
      <w:pPr>
        <w:ind w:firstLine="1134"/>
        <w:jc w:val="both"/>
        <w:rPr>
          <w:sz w:val="14"/>
        </w:rPr>
      </w:pPr>
    </w:p>
    <w:p w14:paraId="6C184D9C" w14:textId="7E5CBCE0" w:rsidR="00F14986" w:rsidRPr="008E169B" w:rsidRDefault="00F14986" w:rsidP="00F14986">
      <w:pPr>
        <w:jc w:val="center"/>
        <w:rPr>
          <w:b/>
          <w:smallCaps/>
          <w:color w:val="5B9BD5"/>
          <w:u w:val="single"/>
        </w:rPr>
      </w:pPr>
      <w:r>
        <w:rPr>
          <w:b/>
          <w:smallCaps/>
          <w:color w:val="5B9BD5"/>
          <w:u w:val="single"/>
        </w:rPr>
        <w:t>Da prova mínima</w:t>
      </w:r>
    </w:p>
    <w:p w14:paraId="7B663874" w14:textId="77777777" w:rsidR="00F14986" w:rsidRDefault="00F14986" w:rsidP="00F14986">
      <w:pPr>
        <w:ind w:firstLine="709"/>
        <w:jc w:val="both"/>
        <w:rPr>
          <w:rFonts w:eastAsia="Calibri"/>
        </w:rPr>
      </w:pPr>
    </w:p>
    <w:p w14:paraId="1B90B1CE" w14:textId="77777777" w:rsidR="00F14986" w:rsidRDefault="00F14986" w:rsidP="00F14986">
      <w:pPr>
        <w:spacing w:line="360" w:lineRule="auto"/>
        <w:ind w:firstLine="1134"/>
        <w:jc w:val="both"/>
      </w:pPr>
      <w:r>
        <w:t>Esta alegação é um desrespeito à parte Autora e aos patronos desta. Resta comprovado por meio dos contracheques que a parte é servidora inativa do Estado do Rio de Janeiro, ainda, ressalta-se que os contracheques são produzidos e fornecidos pelos Réus.</w:t>
      </w:r>
    </w:p>
    <w:p w14:paraId="1901E276" w14:textId="77777777" w:rsidR="00F14986" w:rsidRDefault="00F14986" w:rsidP="00F14986">
      <w:pPr>
        <w:ind w:firstLine="1134"/>
        <w:jc w:val="both"/>
      </w:pPr>
    </w:p>
    <w:p w14:paraId="78598C4D" w14:textId="77777777" w:rsidR="00F14986" w:rsidRDefault="00F14986" w:rsidP="00F14986">
      <w:pPr>
        <w:spacing w:line="360" w:lineRule="auto"/>
        <w:ind w:firstLine="1134"/>
        <w:jc w:val="both"/>
        <w:rPr>
          <w:rFonts w:eastAsia="Calibri"/>
        </w:rPr>
      </w:pPr>
      <w:r>
        <w:t>Resta comprovado que existe um piso nacional, resta ainda comprovado que o piso não vem sendo respeitado pelo Estado do Rio de Janeiro, assim, a palavra “mínima” somente pode ser utilizada na falta de “defesa mínima” do Estado do Rio de Janeiro, o qual apresenta petição genérica, alegações sem qualquer embasamento em peça confusa que em alguns momentos impugna pontos confirmando o que a Autora trouxe em sua inicial.</w:t>
      </w:r>
    </w:p>
    <w:p w14:paraId="1E685219" w14:textId="77777777" w:rsidR="00F14986" w:rsidRPr="007A253C" w:rsidRDefault="00F14986" w:rsidP="00F14986">
      <w:pPr>
        <w:ind w:firstLine="1134"/>
        <w:jc w:val="both"/>
        <w:rPr>
          <w:rFonts w:eastAsia="Calibri"/>
          <w:sz w:val="16"/>
        </w:rPr>
      </w:pPr>
    </w:p>
    <w:p w14:paraId="232240C1" w14:textId="169ED57D" w:rsidR="00F14986" w:rsidRPr="008E169B" w:rsidRDefault="00F14986" w:rsidP="00F14986">
      <w:pPr>
        <w:jc w:val="center"/>
        <w:rPr>
          <w:b/>
          <w:smallCaps/>
          <w:color w:val="5B9BD5"/>
          <w:u w:val="single"/>
        </w:rPr>
      </w:pPr>
      <w:r>
        <w:rPr>
          <w:b/>
          <w:smallCaps/>
          <w:color w:val="5B9BD5"/>
          <w:u w:val="single"/>
        </w:rPr>
        <w:t>Da impossibilidade de aplicar o piso para cargas horárias abaixo de 40 horas</w:t>
      </w:r>
    </w:p>
    <w:p w14:paraId="741B0460" w14:textId="77777777" w:rsidR="00F14986" w:rsidRDefault="00F14986" w:rsidP="00F14986">
      <w:pPr>
        <w:ind w:firstLine="709"/>
        <w:jc w:val="both"/>
        <w:rPr>
          <w:rFonts w:eastAsia="Calibri"/>
        </w:rPr>
      </w:pPr>
    </w:p>
    <w:p w14:paraId="4B83D607" w14:textId="77777777" w:rsidR="00F14986" w:rsidRDefault="00F14986" w:rsidP="00F14986">
      <w:pPr>
        <w:spacing w:line="360" w:lineRule="auto"/>
        <w:ind w:firstLine="1134"/>
        <w:jc w:val="both"/>
      </w:pPr>
      <w:r>
        <w:t>O Estado do Rio de Janeiro olvidou-se do §3º do art. 2º da Lei 11.738/2008, abaixo transcrito:</w:t>
      </w:r>
    </w:p>
    <w:p w14:paraId="1BB6ADD3" w14:textId="77777777" w:rsidR="00F14986" w:rsidRDefault="00F14986" w:rsidP="00F14986">
      <w:pPr>
        <w:spacing w:line="360" w:lineRule="auto"/>
        <w:jc w:val="both"/>
      </w:pPr>
    </w:p>
    <w:p w14:paraId="4A3744FA" w14:textId="77777777" w:rsidR="00F14986" w:rsidRDefault="00F14986" w:rsidP="00F14986">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455E160B" w14:textId="77777777" w:rsidR="00F14986" w:rsidRDefault="00F14986" w:rsidP="00F14986">
      <w:pPr>
        <w:spacing w:line="360" w:lineRule="auto"/>
        <w:ind w:firstLine="1134"/>
        <w:jc w:val="both"/>
        <w:rPr>
          <w:rFonts w:eastAsia="Calibri"/>
        </w:rPr>
      </w:pPr>
    </w:p>
    <w:p w14:paraId="45807B10" w14:textId="77777777" w:rsidR="00F14986" w:rsidRDefault="00F14986" w:rsidP="00F14986">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26537CF" w14:textId="77777777" w:rsidR="00975714" w:rsidRDefault="00975714" w:rsidP="00F14986">
      <w:pPr>
        <w:spacing w:line="360" w:lineRule="auto"/>
        <w:ind w:firstLine="1134"/>
        <w:jc w:val="both"/>
        <w:rPr>
          <w:rFonts w:eastAsia="Calibri"/>
        </w:rPr>
      </w:pPr>
    </w:p>
    <w:p w14:paraId="240899AD" w14:textId="77777777" w:rsidR="00975714" w:rsidRPr="003D2D27" w:rsidRDefault="00975714" w:rsidP="00975714">
      <w:pPr>
        <w:ind w:firstLine="1134"/>
        <w:jc w:val="both"/>
      </w:pPr>
      <w:bookmarkStart w:id="1" w:name="_Hlk136423528"/>
      <w:r>
        <w:rPr>
          <w:b/>
          <w:smallCaps/>
          <w:color w:val="5B9BD5"/>
          <w:u w:val="single"/>
        </w:rPr>
        <w:lastRenderedPageBreak/>
        <w:t>Do</w:t>
      </w:r>
      <w:r w:rsidRPr="00366882">
        <w:rPr>
          <w:b/>
          <w:smallCaps/>
          <w:color w:val="5B9BD5"/>
          <w:u w:val="single"/>
        </w:rPr>
        <w:t xml:space="preserve"> reajuste escalonado</w:t>
      </w:r>
      <w:r>
        <w:rPr>
          <w:b/>
          <w:smallCaps/>
          <w:color w:val="5B9BD5"/>
          <w:u w:val="single"/>
        </w:rPr>
        <w:t xml:space="preserve"> – Previsão Legal que deve ser respeitada e cumprida</w:t>
      </w:r>
    </w:p>
    <w:p w14:paraId="78FC5564" w14:textId="77777777" w:rsidR="00975714" w:rsidRDefault="00975714" w:rsidP="00975714">
      <w:pPr>
        <w:ind w:firstLine="709"/>
        <w:jc w:val="both"/>
        <w:rPr>
          <w:rFonts w:eastAsia="Calibri"/>
        </w:rPr>
      </w:pPr>
    </w:p>
    <w:p w14:paraId="0364CB7A" w14:textId="77777777" w:rsidR="00975714" w:rsidRDefault="00975714" w:rsidP="00975714">
      <w:pPr>
        <w:spacing w:line="360" w:lineRule="auto"/>
        <w:ind w:firstLine="1134"/>
        <w:jc w:val="both"/>
      </w:pPr>
      <w:r>
        <w:t>O Estado do Rio de Janeiro olvidou-se do §3º do art. 2º da Lei 11.738/2008, abaixo transcrito:</w:t>
      </w:r>
    </w:p>
    <w:p w14:paraId="4CDEBB65" w14:textId="77777777" w:rsidR="00975714" w:rsidRDefault="00975714" w:rsidP="00975714">
      <w:pPr>
        <w:jc w:val="both"/>
      </w:pPr>
    </w:p>
    <w:p w14:paraId="17C7F4C0" w14:textId="77777777" w:rsidR="00975714" w:rsidRDefault="00975714" w:rsidP="00975714">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6D05222B" w14:textId="77777777" w:rsidR="00975714" w:rsidRDefault="00975714" w:rsidP="00975714">
      <w:pPr>
        <w:ind w:firstLine="1134"/>
        <w:jc w:val="both"/>
        <w:rPr>
          <w:rFonts w:eastAsia="Calibri"/>
        </w:rPr>
      </w:pPr>
    </w:p>
    <w:p w14:paraId="78FCC334" w14:textId="77777777" w:rsidR="00975714" w:rsidRDefault="00975714" w:rsidP="00975714">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3D99E33" w14:textId="77777777" w:rsidR="00975714" w:rsidRDefault="00975714" w:rsidP="00975714">
      <w:pPr>
        <w:ind w:firstLine="1134"/>
        <w:jc w:val="both"/>
        <w:rPr>
          <w:rFonts w:eastAsia="Calibri"/>
        </w:rPr>
      </w:pPr>
    </w:p>
    <w:p w14:paraId="1E96CB31" w14:textId="77777777" w:rsidR="00975714" w:rsidRDefault="00975714" w:rsidP="00975714">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19FDE747" w14:textId="77777777" w:rsidR="00975714" w:rsidRDefault="00975714" w:rsidP="00975714">
      <w:pPr>
        <w:ind w:firstLine="1134"/>
        <w:jc w:val="both"/>
        <w:rPr>
          <w:rFonts w:eastAsia="Calibri"/>
        </w:rPr>
      </w:pPr>
    </w:p>
    <w:p w14:paraId="3C9E456B" w14:textId="77777777" w:rsidR="00975714" w:rsidRDefault="00975714" w:rsidP="00975714">
      <w:pPr>
        <w:spacing w:line="360" w:lineRule="auto"/>
        <w:ind w:firstLine="1134"/>
        <w:jc w:val="both"/>
        <w:rPr>
          <w:rFonts w:eastAsia="Calibri"/>
        </w:rPr>
      </w:pPr>
      <w:r>
        <w:rPr>
          <w:rFonts w:eastAsia="Calibri"/>
        </w:rPr>
        <w:t xml:space="preserve">Afirmar o contrário à Legislação vigente beira a má-fé. </w:t>
      </w:r>
    </w:p>
    <w:p w14:paraId="1ED9DD4F" w14:textId="77777777" w:rsidR="00975714" w:rsidRDefault="00975714" w:rsidP="00975714">
      <w:pPr>
        <w:ind w:firstLine="1134"/>
        <w:jc w:val="both"/>
        <w:rPr>
          <w:rFonts w:eastAsia="Calibri"/>
        </w:rPr>
      </w:pPr>
    </w:p>
    <w:p w14:paraId="270BE576" w14:textId="77777777" w:rsidR="00975714" w:rsidRDefault="00975714" w:rsidP="00975714">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 e o Plano de Cargos e Salários.</w:t>
      </w:r>
    </w:p>
    <w:p w14:paraId="0E6E9778" w14:textId="77777777" w:rsidR="00975714" w:rsidRDefault="00975714" w:rsidP="00975714">
      <w:pPr>
        <w:jc w:val="center"/>
        <w:rPr>
          <w:b/>
          <w:smallCaps/>
          <w:color w:val="5B9BD5"/>
          <w:u w:val="single"/>
        </w:rPr>
      </w:pPr>
    </w:p>
    <w:p w14:paraId="43B58187" w14:textId="77777777" w:rsidR="00975714" w:rsidRDefault="00975714" w:rsidP="00975714">
      <w:pPr>
        <w:jc w:val="center"/>
        <w:rPr>
          <w:b/>
          <w:smallCaps/>
          <w:color w:val="5B9BD5"/>
          <w:u w:val="single"/>
        </w:rPr>
      </w:pPr>
    </w:p>
    <w:p w14:paraId="48601779" w14:textId="62978FD8" w:rsidR="00975714" w:rsidRPr="008E169B" w:rsidRDefault="00975714" w:rsidP="00975714">
      <w:pPr>
        <w:jc w:val="center"/>
        <w:rPr>
          <w:b/>
          <w:smallCaps/>
          <w:color w:val="5B9BD5"/>
          <w:u w:val="single"/>
        </w:rPr>
      </w:pPr>
      <w:r>
        <w:rPr>
          <w:b/>
          <w:smallCaps/>
          <w:color w:val="5B9BD5"/>
          <w:u w:val="single"/>
        </w:rPr>
        <w:t xml:space="preserve">O desrespeito do Estado com as Legislações Nacionais e Estaduais </w:t>
      </w:r>
    </w:p>
    <w:p w14:paraId="297146D7" w14:textId="77777777" w:rsidR="00975714" w:rsidRDefault="00975714" w:rsidP="00975714">
      <w:pPr>
        <w:ind w:firstLine="709"/>
        <w:jc w:val="both"/>
        <w:rPr>
          <w:rFonts w:eastAsia="Calibri"/>
        </w:rPr>
      </w:pPr>
    </w:p>
    <w:p w14:paraId="79B75D53" w14:textId="77777777" w:rsidR="00975714" w:rsidRDefault="00975714" w:rsidP="00975714">
      <w:pPr>
        <w:spacing w:line="360" w:lineRule="auto"/>
        <w:ind w:firstLine="1134"/>
        <w:jc w:val="both"/>
      </w:pPr>
      <w:r>
        <w:t>O Estado alega que o devido cumprimento das legislações Nacionais e Estaduais viria a violar os arts.</w:t>
      </w:r>
      <w:r w:rsidRPr="003D2D27">
        <w:t xml:space="preserve"> 1º, 2º, 37, X, </w:t>
      </w:r>
      <w:r>
        <w:t>e</w:t>
      </w:r>
      <w:r w:rsidRPr="003D2D27">
        <w:t xml:space="preserve"> 61, § 1º, II, “a” e “c”, </w:t>
      </w:r>
      <w:r>
        <w:t>da</w:t>
      </w:r>
      <w:r w:rsidRPr="003D2D27">
        <w:t xml:space="preserve"> Constituição Federal</w:t>
      </w:r>
      <w:r>
        <w:t>, o que não é verdade.</w:t>
      </w:r>
    </w:p>
    <w:p w14:paraId="0A843457" w14:textId="77777777" w:rsidR="00975714" w:rsidRDefault="00975714" w:rsidP="00975714">
      <w:pPr>
        <w:ind w:firstLine="1134"/>
        <w:jc w:val="both"/>
      </w:pPr>
    </w:p>
    <w:p w14:paraId="0CD89266" w14:textId="77777777" w:rsidR="00975714" w:rsidRDefault="00975714" w:rsidP="00975714">
      <w:pPr>
        <w:spacing w:line="360" w:lineRule="auto"/>
        <w:ind w:firstLine="1134"/>
        <w:jc w:val="both"/>
      </w:pPr>
      <w:r>
        <w:lastRenderedPageBreak/>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6B750DA5" w14:textId="77777777" w:rsidR="00975714" w:rsidRDefault="00975714" w:rsidP="00975714">
      <w:pPr>
        <w:spacing w:line="360" w:lineRule="auto"/>
        <w:ind w:firstLine="1134"/>
        <w:jc w:val="both"/>
      </w:pPr>
    </w:p>
    <w:p w14:paraId="049974CC" w14:textId="77777777" w:rsidR="00975714" w:rsidRDefault="00975714" w:rsidP="00975714">
      <w:pPr>
        <w:spacing w:line="360" w:lineRule="auto"/>
        <w:ind w:firstLine="1134"/>
        <w:jc w:val="both"/>
      </w:pPr>
      <w:r>
        <w:t xml:space="preserve">Não foi possível identificar, contudo, as violações informadas. O Estado foi o responsável pela criação do Plano de carreira dos professores, o Plano que tentam não cumprir. </w:t>
      </w:r>
    </w:p>
    <w:p w14:paraId="0E226159" w14:textId="77777777" w:rsidR="00975714" w:rsidRDefault="00975714" w:rsidP="00975714">
      <w:pPr>
        <w:ind w:firstLine="1134"/>
        <w:jc w:val="both"/>
      </w:pPr>
    </w:p>
    <w:p w14:paraId="57FD3F64" w14:textId="77777777" w:rsidR="00975714" w:rsidRPr="00036A27" w:rsidRDefault="00975714" w:rsidP="00975714">
      <w:pPr>
        <w:spacing w:line="360" w:lineRule="auto"/>
        <w:ind w:firstLine="1134"/>
        <w:jc w:val="both"/>
      </w:pPr>
      <w:r>
        <w:t xml:space="preserve">A existência de ambas as Leis não cria por si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1"/>
      <w:r>
        <w:t>Norberto Bobbio entendia que:</w:t>
      </w:r>
    </w:p>
    <w:p w14:paraId="2975B1AD" w14:textId="77777777" w:rsidR="00975714" w:rsidRPr="00036A27" w:rsidRDefault="00975714" w:rsidP="00975714">
      <w:pPr>
        <w:ind w:firstLine="1134"/>
        <w:jc w:val="both"/>
      </w:pPr>
      <w:r w:rsidRPr="00036A27">
        <w:t> </w:t>
      </w:r>
    </w:p>
    <w:p w14:paraId="232E053A" w14:textId="77777777" w:rsidR="00975714" w:rsidRPr="00036A27" w:rsidRDefault="00975714" w:rsidP="00975714">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378B5192" w14:textId="77777777" w:rsidR="00975714" w:rsidRPr="00036A27" w:rsidRDefault="00975714" w:rsidP="00975714">
      <w:pPr>
        <w:ind w:left="2268"/>
        <w:jc w:val="both"/>
        <w:rPr>
          <w:i/>
          <w:iCs/>
          <w:sz w:val="22"/>
          <w:szCs w:val="22"/>
        </w:rPr>
      </w:pPr>
      <w:r w:rsidRPr="00036A27">
        <w:rPr>
          <w:i/>
          <w:iCs/>
          <w:sz w:val="22"/>
          <w:szCs w:val="22"/>
        </w:rPr>
        <w:t>(...)</w:t>
      </w:r>
    </w:p>
    <w:p w14:paraId="76C51D29" w14:textId="77777777" w:rsidR="00975714" w:rsidRPr="00036A27" w:rsidRDefault="00975714" w:rsidP="00975714">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 xml:space="preserve">não acontece a eliminação total de uma das duas normas </w:t>
      </w:r>
      <w:proofErr w:type="gramStart"/>
      <w:r w:rsidRPr="00036A27">
        <w:rPr>
          <w:b/>
          <w:bCs/>
          <w:i/>
          <w:iCs/>
          <w:sz w:val="22"/>
          <w:szCs w:val="22"/>
        </w:rPr>
        <w:t>incompatíveis</w:t>
      </w:r>
      <w:proofErr w:type="gramEnd"/>
      <w:r w:rsidRPr="00036A27">
        <w:rPr>
          <w:b/>
          <w:bCs/>
          <w:i/>
          <w:iCs/>
          <w:sz w:val="22"/>
          <w:szCs w:val="22"/>
        </w:rPr>
        <w:t xml:space="preserve">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02FCA6E8" w14:textId="77777777" w:rsidR="00975714" w:rsidRPr="00036A27" w:rsidRDefault="00975714" w:rsidP="00975714">
      <w:pPr>
        <w:spacing w:line="360" w:lineRule="auto"/>
        <w:ind w:firstLine="1134"/>
        <w:jc w:val="both"/>
      </w:pPr>
      <w:r w:rsidRPr="00036A27">
        <w:t> </w:t>
      </w:r>
    </w:p>
    <w:p w14:paraId="319BD33F" w14:textId="77777777" w:rsidR="00975714" w:rsidRDefault="00975714" w:rsidP="00975714">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4203DDDF" w14:textId="77777777" w:rsidR="00975714" w:rsidRDefault="00975714" w:rsidP="00975714">
      <w:pPr>
        <w:ind w:firstLine="1134"/>
        <w:jc w:val="both"/>
      </w:pPr>
    </w:p>
    <w:p w14:paraId="6CB8852F" w14:textId="5BF50A43" w:rsidR="00975714" w:rsidRDefault="00975714" w:rsidP="00975714">
      <w:pPr>
        <w:spacing w:line="360" w:lineRule="auto"/>
        <w:ind w:firstLine="1134"/>
        <w:jc w:val="both"/>
      </w:pPr>
      <w:r>
        <w:lastRenderedPageBreak/>
        <w:t>Assim, diferente do alegado pelo Estado, não há qualquer violação à norma aqui, a única violação que encontramos é o Estado ao não pagar o Piso Nacional.</w:t>
      </w:r>
    </w:p>
    <w:p w14:paraId="7DDA3AEE" w14:textId="77777777" w:rsidR="00975714" w:rsidRPr="007A253C" w:rsidRDefault="00975714" w:rsidP="00975714">
      <w:pPr>
        <w:spacing w:line="360" w:lineRule="auto"/>
        <w:ind w:firstLine="1134"/>
        <w:jc w:val="both"/>
        <w:rPr>
          <w:sz w:val="14"/>
        </w:rPr>
      </w:pPr>
    </w:p>
    <w:p w14:paraId="3813BB2A" w14:textId="53ED9189" w:rsidR="00975714" w:rsidRPr="008E169B" w:rsidRDefault="00975714" w:rsidP="00975714">
      <w:pPr>
        <w:jc w:val="center"/>
        <w:rPr>
          <w:b/>
          <w:smallCaps/>
          <w:color w:val="5B9BD5"/>
          <w:u w:val="single"/>
        </w:rPr>
      </w:pPr>
      <w:bookmarkStart w:id="2" w:name="_Hlk136423609"/>
      <w:r>
        <w:rPr>
          <w:b/>
          <w:smallCaps/>
          <w:color w:val="5B9BD5"/>
          <w:u w:val="single"/>
        </w:rPr>
        <w:t xml:space="preserve">Não há qualquer vinculação à </w:t>
      </w:r>
      <w:r w:rsidRPr="00036A27">
        <w:rPr>
          <w:b/>
          <w:smallCaps/>
          <w:color w:val="5B9BD5"/>
          <w:u w:val="single"/>
        </w:rPr>
        <w:t>índices federais de correção monetária</w:t>
      </w:r>
    </w:p>
    <w:p w14:paraId="68001A17" w14:textId="77777777" w:rsidR="00975714" w:rsidRDefault="00975714" w:rsidP="00975714">
      <w:pPr>
        <w:ind w:firstLine="709"/>
        <w:jc w:val="both"/>
        <w:rPr>
          <w:rFonts w:eastAsia="Calibri"/>
        </w:rPr>
      </w:pPr>
    </w:p>
    <w:p w14:paraId="66F5CA68" w14:textId="77777777" w:rsidR="00975714" w:rsidRDefault="00975714" w:rsidP="00975714">
      <w:pPr>
        <w:spacing w:line="360" w:lineRule="auto"/>
        <w:ind w:firstLine="1134"/>
        <w:jc w:val="both"/>
      </w:pPr>
      <w:r>
        <w:t>O Estado segue em mais uma tentativa de tentar fazer algo que não é real como se o fosse.</w:t>
      </w:r>
    </w:p>
    <w:p w14:paraId="7E62E0C1" w14:textId="77777777" w:rsidR="00975714" w:rsidRDefault="00975714" w:rsidP="00975714">
      <w:pPr>
        <w:ind w:firstLine="1134"/>
        <w:jc w:val="both"/>
      </w:pPr>
    </w:p>
    <w:p w14:paraId="32553850" w14:textId="77777777" w:rsidR="00975714" w:rsidRDefault="00975714" w:rsidP="00975714">
      <w:pPr>
        <w:spacing w:line="360" w:lineRule="auto"/>
        <w:ind w:firstLine="1134"/>
        <w:jc w:val="both"/>
      </w:pPr>
      <w:r>
        <w:t>A única determinação legal imposta é o pagamento mínimo, o qual é prevista a existência na Constituição Federal, a qual</w:t>
      </w:r>
      <w:r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Pr="00B913DD">
        <w:rPr>
          <w:i/>
          <w:iCs/>
        </w:rPr>
        <w:t>o ensino será ministrado com base nos seguintes princípios: [...] - VIII - piso salarial profissional nacional para os profissionais da educação escolar pública, nos termos de lei federal</w:t>
      </w:r>
      <w:r w:rsidRPr="00B913DD">
        <w:t>".</w:t>
      </w:r>
    </w:p>
    <w:p w14:paraId="0A5E13A2" w14:textId="77777777" w:rsidR="00975714" w:rsidRDefault="00975714" w:rsidP="00975714">
      <w:pPr>
        <w:ind w:firstLine="1134"/>
        <w:jc w:val="both"/>
      </w:pPr>
    </w:p>
    <w:p w14:paraId="5623D4AA" w14:textId="77777777" w:rsidR="00975714" w:rsidRDefault="00975714" w:rsidP="00975714">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bookmarkEnd w:id="2"/>
    <w:p w14:paraId="6A8B944D" w14:textId="77777777" w:rsidR="00975714" w:rsidRPr="007A253C" w:rsidRDefault="00975714" w:rsidP="00975714">
      <w:pPr>
        <w:ind w:firstLine="1134"/>
        <w:jc w:val="both"/>
        <w:rPr>
          <w:sz w:val="14"/>
        </w:rPr>
      </w:pPr>
    </w:p>
    <w:p w14:paraId="07C54FFA" w14:textId="2C11A1B1" w:rsidR="00975714" w:rsidRPr="008E169B" w:rsidRDefault="00975714" w:rsidP="00975714">
      <w:pPr>
        <w:jc w:val="center"/>
        <w:rPr>
          <w:b/>
          <w:smallCaps/>
          <w:color w:val="5B9BD5"/>
          <w:u w:val="single"/>
        </w:rPr>
      </w:pPr>
      <w:bookmarkStart w:id="3" w:name="_Hlk136423665"/>
      <w:r>
        <w:rPr>
          <w:b/>
          <w:smallCaps/>
          <w:color w:val="5B9BD5"/>
          <w:u w:val="single"/>
        </w:rPr>
        <w:t>Da necessidade da análise das consequências diante das decisões</w:t>
      </w:r>
    </w:p>
    <w:p w14:paraId="3799E2EB" w14:textId="77777777" w:rsidR="00975714" w:rsidRDefault="00975714" w:rsidP="00975714">
      <w:pPr>
        <w:ind w:firstLine="709"/>
        <w:jc w:val="both"/>
        <w:rPr>
          <w:rFonts w:eastAsia="Calibri"/>
        </w:rPr>
      </w:pPr>
    </w:p>
    <w:p w14:paraId="25A31495" w14:textId="77777777" w:rsidR="00975714" w:rsidRDefault="00975714" w:rsidP="00975714">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7C596F58" w14:textId="77777777" w:rsidR="00975714" w:rsidRDefault="00975714" w:rsidP="00975714">
      <w:pPr>
        <w:ind w:firstLine="1134"/>
        <w:jc w:val="both"/>
      </w:pPr>
    </w:p>
    <w:p w14:paraId="0E116D4C" w14:textId="77777777" w:rsidR="00975714" w:rsidRDefault="00975714" w:rsidP="00975714">
      <w:pPr>
        <w:spacing w:line="360" w:lineRule="auto"/>
        <w:ind w:firstLine="1134"/>
        <w:jc w:val="both"/>
      </w:pPr>
      <w:r>
        <w:t>Quanto ao princípio da separação dos poderes, este não impede que o Poder Judiciário intervenha caso haja lesão ou ameaça a direito, consoante art. 5°, XXXV, da CRFB/88, razão pela qual a irresignação do Estado não deve prosperar.</w:t>
      </w:r>
    </w:p>
    <w:p w14:paraId="4D9AA67E" w14:textId="77777777" w:rsidR="00975714" w:rsidRDefault="00975714" w:rsidP="00975714">
      <w:pPr>
        <w:ind w:firstLine="1134"/>
        <w:jc w:val="both"/>
      </w:pPr>
    </w:p>
    <w:p w14:paraId="40F21E38" w14:textId="77777777" w:rsidR="00975714" w:rsidRDefault="00975714" w:rsidP="00975714">
      <w:pPr>
        <w:spacing w:line="360" w:lineRule="auto"/>
        <w:ind w:firstLine="1134"/>
        <w:jc w:val="both"/>
      </w:pPr>
      <w:r>
        <w:t xml:space="preserve">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w:t>
      </w:r>
      <w:r>
        <w:lastRenderedPageBreak/>
        <w:t>Constituição Federal, pois não está o Poder Judiciário a criar aumento ou modificar salários, mas, apenas, cumprindo o que o texto legal assim determina.</w:t>
      </w:r>
    </w:p>
    <w:p w14:paraId="237E1A25" w14:textId="77777777" w:rsidR="00975714" w:rsidRDefault="00975714" w:rsidP="00975714">
      <w:pPr>
        <w:ind w:firstLine="1134"/>
        <w:jc w:val="both"/>
      </w:pPr>
      <w:r>
        <w:tab/>
      </w:r>
    </w:p>
    <w:p w14:paraId="37BDC214" w14:textId="77777777" w:rsidR="00975714" w:rsidRDefault="00975714" w:rsidP="00975714">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seus secretários de </w:t>
      </w:r>
      <w:r w:rsidRPr="00B913DD">
        <w:rPr>
          <w:b/>
          <w:bCs/>
        </w:rPr>
        <w:t>mais de 60%,</w:t>
      </w:r>
      <w:r>
        <w:t xml:space="preserve"> conforme matéria encontrada no link: </w:t>
      </w:r>
      <w:hyperlink r:id="rId19" w:history="1">
        <w:r>
          <w:rPr>
            <w:rStyle w:val="Hyperlink"/>
          </w:rPr>
          <w:t>https://g1.globo.com/rj/rio-de-janeiro/noticia/2022/12/19/comissao-da-alerj-aprova-reajuste-salarial-de-mais-de-60percent-para-castro-e-seus-secretarios.ghtml</w:t>
        </w:r>
      </w:hyperlink>
      <w:r>
        <w:t xml:space="preserve"> </w:t>
      </w:r>
    </w:p>
    <w:p w14:paraId="05CB3B6E" w14:textId="77777777" w:rsidR="00975714" w:rsidRDefault="00975714" w:rsidP="00975714">
      <w:pPr>
        <w:ind w:firstLine="1134"/>
        <w:jc w:val="both"/>
      </w:pPr>
    </w:p>
    <w:p w14:paraId="60B3AD59" w14:textId="77777777" w:rsidR="00975714" w:rsidRDefault="00975714" w:rsidP="00975714">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680E069F" w14:textId="77777777" w:rsidR="00975714" w:rsidRDefault="00975714" w:rsidP="00975714">
      <w:pPr>
        <w:ind w:firstLine="1134"/>
        <w:jc w:val="both"/>
        <w:rPr>
          <w:rFonts w:eastAsia="Calibri"/>
        </w:rPr>
      </w:pPr>
    </w:p>
    <w:p w14:paraId="7D20F30D" w14:textId="77777777" w:rsidR="00975714" w:rsidRPr="00B913DD" w:rsidRDefault="00975714" w:rsidP="00975714">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74192C23" w14:textId="77777777" w:rsidR="00975714" w:rsidRDefault="00975714" w:rsidP="00975714">
      <w:pPr>
        <w:spacing w:line="360" w:lineRule="auto"/>
        <w:jc w:val="both"/>
        <w:rPr>
          <w:rFonts w:ascii="Garamond" w:eastAsia="Garamond" w:hAnsi="Garamond" w:cs="Garamond"/>
        </w:rPr>
      </w:pPr>
    </w:p>
    <w:p w14:paraId="04BF22A5" w14:textId="77777777" w:rsidR="00975714" w:rsidRDefault="00975714" w:rsidP="00975714">
      <w:pPr>
        <w:spacing w:line="360" w:lineRule="auto"/>
        <w:jc w:val="both"/>
        <w:rPr>
          <w:rFonts w:ascii="Garamond" w:eastAsia="Garamond" w:hAnsi="Garamond" w:cs="Garamond"/>
        </w:rPr>
      </w:pPr>
      <w:r w:rsidRPr="009C1082">
        <w:rPr>
          <w:noProof/>
        </w:rPr>
        <w:drawing>
          <wp:inline distT="0" distB="0" distL="0" distR="0" wp14:anchorId="36E3810B" wp14:editId="50DA5903">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33A0C505" w14:textId="77777777" w:rsidR="00975714" w:rsidRPr="00B913DD" w:rsidRDefault="00975714" w:rsidP="00975714">
      <w:pPr>
        <w:spacing w:line="360" w:lineRule="auto"/>
        <w:ind w:firstLine="1134"/>
        <w:jc w:val="both"/>
      </w:pPr>
      <w:r w:rsidRPr="00B913DD">
        <w:t>Neste mesmo período, notadamente no período de 2017 até 2022 em que não houve qualquer reajuste, a inflação continuou a existir, sendo a taxa anual melhor descrita abaixo:</w:t>
      </w:r>
    </w:p>
    <w:p w14:paraId="39B329AF" w14:textId="77777777" w:rsidR="00975714" w:rsidRDefault="00975714" w:rsidP="00975714">
      <w:pPr>
        <w:jc w:val="both"/>
        <w:rPr>
          <w:rFonts w:ascii="Garamond" w:eastAsia="Garamond" w:hAnsi="Garamond" w:cs="Garamond"/>
        </w:rPr>
      </w:pPr>
    </w:p>
    <w:p w14:paraId="2952E263" w14:textId="77777777" w:rsidR="00975714" w:rsidRPr="00B913DD" w:rsidRDefault="00975714" w:rsidP="00975714">
      <w:pPr>
        <w:spacing w:line="360" w:lineRule="auto"/>
        <w:jc w:val="center"/>
        <w:rPr>
          <w:rFonts w:eastAsia="Garamond"/>
          <w:b/>
          <w:bCs/>
        </w:rPr>
      </w:pPr>
      <w:r w:rsidRPr="00B913DD">
        <w:rPr>
          <w:rFonts w:eastAsia="Garamond"/>
          <w:b/>
          <w:bCs/>
        </w:rPr>
        <w:t>2022</w:t>
      </w:r>
      <w:r w:rsidRPr="00B913DD">
        <w:rPr>
          <w:rFonts w:eastAsia="Garamond"/>
          <w:b/>
          <w:bCs/>
        </w:rPr>
        <w:tab/>
        <w:t>9,28 %</w:t>
      </w:r>
    </w:p>
    <w:p w14:paraId="6BC3B233" w14:textId="77777777" w:rsidR="00975714" w:rsidRPr="00B913DD" w:rsidRDefault="00975714" w:rsidP="00975714">
      <w:pPr>
        <w:spacing w:line="360" w:lineRule="auto"/>
        <w:jc w:val="center"/>
        <w:rPr>
          <w:rFonts w:eastAsia="Garamond"/>
          <w:b/>
          <w:bCs/>
        </w:rPr>
      </w:pPr>
      <w:r w:rsidRPr="00B913DD">
        <w:rPr>
          <w:rFonts w:eastAsia="Garamond"/>
          <w:b/>
          <w:bCs/>
        </w:rPr>
        <w:t>2021</w:t>
      </w:r>
      <w:r w:rsidRPr="00B913DD">
        <w:rPr>
          <w:rFonts w:eastAsia="Garamond"/>
          <w:b/>
          <w:bCs/>
        </w:rPr>
        <w:tab/>
        <w:t>8,30 %</w:t>
      </w:r>
    </w:p>
    <w:p w14:paraId="4D983E3F" w14:textId="77777777" w:rsidR="00975714" w:rsidRPr="00B913DD" w:rsidRDefault="00975714" w:rsidP="00975714">
      <w:pPr>
        <w:spacing w:line="360" w:lineRule="auto"/>
        <w:jc w:val="center"/>
        <w:rPr>
          <w:b/>
          <w:bCs/>
        </w:rPr>
      </w:pPr>
      <w:r w:rsidRPr="00B913DD">
        <w:rPr>
          <w:rFonts w:eastAsia="Garamond"/>
          <w:b/>
          <w:bCs/>
        </w:rPr>
        <w:t>2020</w:t>
      </w:r>
      <w:r w:rsidRPr="00B913DD">
        <w:rPr>
          <w:rFonts w:eastAsia="Garamond"/>
          <w:b/>
          <w:bCs/>
        </w:rPr>
        <w:tab/>
        <w:t>3,21 %</w:t>
      </w:r>
    </w:p>
    <w:p w14:paraId="6498CA21" w14:textId="77777777" w:rsidR="00975714" w:rsidRPr="00B913DD" w:rsidRDefault="00975714" w:rsidP="00975714">
      <w:pPr>
        <w:spacing w:line="360" w:lineRule="auto"/>
        <w:jc w:val="center"/>
        <w:rPr>
          <w:rFonts w:eastAsia="Garamond"/>
          <w:b/>
          <w:bCs/>
        </w:rPr>
      </w:pPr>
      <w:r w:rsidRPr="00B913DD">
        <w:rPr>
          <w:rFonts w:eastAsia="Garamond"/>
          <w:b/>
          <w:bCs/>
        </w:rPr>
        <w:t>2019</w:t>
      </w:r>
      <w:r w:rsidRPr="00B913DD">
        <w:rPr>
          <w:rFonts w:eastAsia="Garamond"/>
          <w:b/>
          <w:bCs/>
        </w:rPr>
        <w:tab/>
        <w:t>3,73 %</w:t>
      </w:r>
    </w:p>
    <w:p w14:paraId="548F4C9F" w14:textId="77777777" w:rsidR="00975714" w:rsidRPr="00B913DD" w:rsidRDefault="00975714" w:rsidP="00975714">
      <w:pPr>
        <w:spacing w:line="360" w:lineRule="auto"/>
        <w:jc w:val="center"/>
        <w:rPr>
          <w:rFonts w:eastAsia="Garamond"/>
          <w:b/>
          <w:bCs/>
        </w:rPr>
      </w:pPr>
      <w:r w:rsidRPr="00B913DD">
        <w:rPr>
          <w:rFonts w:eastAsia="Garamond"/>
          <w:b/>
          <w:bCs/>
        </w:rPr>
        <w:t>2018</w:t>
      </w:r>
      <w:r w:rsidRPr="00B913DD">
        <w:rPr>
          <w:rFonts w:eastAsia="Garamond"/>
          <w:b/>
          <w:bCs/>
        </w:rPr>
        <w:tab/>
        <w:t>3,66 %</w:t>
      </w:r>
    </w:p>
    <w:p w14:paraId="187B5A8A" w14:textId="77777777" w:rsidR="00975714" w:rsidRPr="00B913DD" w:rsidRDefault="00975714" w:rsidP="00975714">
      <w:pPr>
        <w:spacing w:line="360" w:lineRule="auto"/>
        <w:jc w:val="center"/>
        <w:rPr>
          <w:rFonts w:eastAsia="Garamond"/>
          <w:b/>
          <w:bCs/>
        </w:rPr>
      </w:pPr>
      <w:r w:rsidRPr="00B913DD">
        <w:rPr>
          <w:rFonts w:eastAsia="Garamond"/>
          <w:b/>
          <w:bCs/>
        </w:rPr>
        <w:lastRenderedPageBreak/>
        <w:t>2017</w:t>
      </w:r>
      <w:r w:rsidRPr="00B913DD">
        <w:rPr>
          <w:rFonts w:eastAsia="Garamond"/>
          <w:b/>
          <w:bCs/>
        </w:rPr>
        <w:tab/>
        <w:t>3,45 %</w:t>
      </w:r>
    </w:p>
    <w:p w14:paraId="4F4D0D64" w14:textId="77777777" w:rsidR="00975714" w:rsidRPr="00B913DD" w:rsidRDefault="00975714" w:rsidP="00975714">
      <w:pPr>
        <w:ind w:firstLine="1134"/>
        <w:jc w:val="both"/>
        <w:rPr>
          <w:rFonts w:eastAsia="Garamond"/>
        </w:rPr>
      </w:pPr>
    </w:p>
    <w:p w14:paraId="5A078414" w14:textId="77777777" w:rsidR="00975714" w:rsidRPr="00B913DD" w:rsidRDefault="00975714" w:rsidP="00975714">
      <w:pPr>
        <w:spacing w:line="360" w:lineRule="auto"/>
        <w:ind w:firstLine="1134"/>
        <w:jc w:val="both"/>
        <w:rPr>
          <w:rFonts w:eastAsia="Garamond"/>
        </w:rPr>
      </w:pPr>
      <w:r w:rsidRPr="00B913DD">
        <w:rPr>
          <w:rFonts w:eastAsia="Garamond"/>
        </w:rPr>
        <w:t>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70.97 Real por ano. Ou seja, de 2017 até 2021 a média de declínio foi de 81.84 Real por ano. Tratando apenas do valor recebido frente à inflação.</w:t>
      </w:r>
    </w:p>
    <w:p w14:paraId="6D62C96E" w14:textId="77777777" w:rsidR="00975714" w:rsidRPr="00B913DD" w:rsidRDefault="00975714" w:rsidP="00975714">
      <w:pPr>
        <w:ind w:firstLine="1134"/>
        <w:jc w:val="both"/>
        <w:rPr>
          <w:rFonts w:eastAsia="Garamond"/>
        </w:rPr>
      </w:pPr>
    </w:p>
    <w:p w14:paraId="01D67CD2" w14:textId="77777777" w:rsidR="00975714" w:rsidRPr="00B913DD" w:rsidRDefault="00975714" w:rsidP="00975714">
      <w:pPr>
        <w:spacing w:line="360" w:lineRule="auto"/>
        <w:ind w:firstLine="1134"/>
        <w:jc w:val="both"/>
        <w:rPr>
          <w:rFonts w:eastAsia="Garamond"/>
        </w:rPr>
      </w:pPr>
      <w:r w:rsidRPr="00B913DD">
        <w:rPr>
          <w:rFonts w:eastAsia="Garamond"/>
        </w:rPr>
        <w:t xml:space="preserve">Finalmente no ano de 2022 e no ano de 2023 houve algum aumento, contudo, tal “aumento” não chegou sequer </w:t>
      </w:r>
      <w:proofErr w:type="gramStart"/>
      <w:r w:rsidRPr="00B913DD">
        <w:rPr>
          <w:rFonts w:eastAsia="Garamond"/>
        </w:rPr>
        <w:t>a</w:t>
      </w:r>
      <w:proofErr w:type="gramEnd"/>
      <w:r w:rsidRPr="00B913DD">
        <w:rPr>
          <w:rFonts w:eastAsia="Garamond"/>
        </w:rPr>
        <w:t xml:space="preserve"> metade do percentual inflacionário. No ano de 2022 ocorreu um “aumento” de aproximadamente 1,13%, enquanto a inflação de 2021 foi de 8.30%. Já no ano de 2023 o “aumento” foi aproximadamente de 1,06% e a inflação de 2022 de 9,28%.</w:t>
      </w:r>
    </w:p>
    <w:p w14:paraId="1C7F4182" w14:textId="77777777" w:rsidR="00975714" w:rsidRPr="00B913DD" w:rsidRDefault="00975714" w:rsidP="00975714">
      <w:pPr>
        <w:ind w:firstLine="1134"/>
        <w:jc w:val="both"/>
        <w:rPr>
          <w:rFonts w:eastAsia="Garamond"/>
        </w:rPr>
      </w:pPr>
    </w:p>
    <w:p w14:paraId="5900DB10" w14:textId="77777777" w:rsidR="00975714" w:rsidRPr="00B913DD" w:rsidRDefault="00975714" w:rsidP="00975714">
      <w:pPr>
        <w:spacing w:line="360" w:lineRule="auto"/>
        <w:ind w:firstLine="1134"/>
        <w:jc w:val="both"/>
        <w:rPr>
          <w:rFonts w:eastAsia="Garamond"/>
        </w:rPr>
      </w:pPr>
      <w:r w:rsidRPr="00B913DD">
        <w:rPr>
          <w:rFonts w:eastAsia="Garamond"/>
        </w:rPr>
        <w:t xml:space="preserve">É necessário, portanto, </w:t>
      </w:r>
      <w:r>
        <w:rPr>
          <w:rFonts w:eastAsia="Garamond"/>
        </w:rPr>
        <w:t>que haja atenção quanto a consequência da não aplicação do mínimo constitucional, serão milhares de professores cada vez com um poder de compra menor, enquanto o Executivo aprova aumentos para si.</w:t>
      </w:r>
    </w:p>
    <w:bookmarkEnd w:id="3"/>
    <w:p w14:paraId="1EF9A516" w14:textId="77777777" w:rsidR="00975714" w:rsidRPr="007A253C" w:rsidRDefault="00975714" w:rsidP="00975714">
      <w:pPr>
        <w:jc w:val="both"/>
        <w:rPr>
          <w:rFonts w:eastAsia="Calibri"/>
          <w:sz w:val="16"/>
        </w:rPr>
      </w:pPr>
    </w:p>
    <w:p w14:paraId="6A3F0C1D" w14:textId="408B92ED" w:rsidR="00975714" w:rsidRPr="008E169B" w:rsidRDefault="00975714" w:rsidP="00975714">
      <w:pPr>
        <w:jc w:val="center"/>
        <w:rPr>
          <w:b/>
          <w:smallCaps/>
          <w:color w:val="5B9BD5"/>
          <w:u w:val="single"/>
        </w:rPr>
      </w:pPr>
      <w:r>
        <w:rPr>
          <w:b/>
          <w:smallCaps/>
          <w:color w:val="5B9BD5"/>
          <w:u w:val="single"/>
        </w:rPr>
        <w:t>Da Carreira do Professor – Nível de acordo com formação</w:t>
      </w:r>
    </w:p>
    <w:p w14:paraId="0FC0AD8C" w14:textId="77777777" w:rsidR="00975714" w:rsidRDefault="00975714" w:rsidP="00975714">
      <w:pPr>
        <w:ind w:firstLine="709"/>
        <w:jc w:val="both"/>
        <w:rPr>
          <w:rFonts w:eastAsia="Calibri"/>
        </w:rPr>
      </w:pPr>
    </w:p>
    <w:p w14:paraId="6DCE94BF" w14:textId="77777777" w:rsidR="00975714" w:rsidRDefault="00975714" w:rsidP="00975714">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 xml:space="preserve">contra </w:t>
      </w:r>
      <w:proofErr w:type="spellStart"/>
      <w:r>
        <w:rPr>
          <w:rFonts w:eastAsia="Calibri"/>
          <w:i/>
          <w:iCs/>
        </w:rPr>
        <w:t>legem</w:t>
      </w:r>
      <w:proofErr w:type="spellEnd"/>
      <w:r>
        <w:rPr>
          <w:rFonts w:eastAsia="Calibri"/>
        </w:rPr>
        <w:t xml:space="preserve">. </w:t>
      </w:r>
    </w:p>
    <w:p w14:paraId="292D48C4" w14:textId="77777777" w:rsidR="00975714" w:rsidRDefault="00975714" w:rsidP="00975714">
      <w:pPr>
        <w:ind w:firstLine="1134"/>
        <w:jc w:val="both"/>
        <w:rPr>
          <w:rFonts w:eastAsia="Calibri"/>
        </w:rPr>
      </w:pPr>
    </w:p>
    <w:p w14:paraId="494D57E7" w14:textId="77777777" w:rsidR="00975714" w:rsidRDefault="00975714" w:rsidP="00975714">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37320472" w14:textId="77777777" w:rsidR="00975714" w:rsidRDefault="00975714" w:rsidP="00975714">
      <w:pPr>
        <w:spacing w:line="360" w:lineRule="auto"/>
        <w:ind w:firstLine="1134"/>
        <w:jc w:val="both"/>
      </w:pPr>
    </w:p>
    <w:p w14:paraId="14E166DA" w14:textId="77777777" w:rsidR="00975714" w:rsidRDefault="00975714" w:rsidP="00975714">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26338014" w14:textId="77777777" w:rsidR="00975714" w:rsidRDefault="00975714" w:rsidP="00975714">
      <w:pPr>
        <w:jc w:val="both"/>
      </w:pPr>
    </w:p>
    <w:p w14:paraId="20C552AA" w14:textId="77777777" w:rsidR="00975714" w:rsidRPr="00B23DD5" w:rsidRDefault="00975714" w:rsidP="00975714">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4D00FD9A" w14:textId="77777777" w:rsidR="00975714" w:rsidRPr="00B23DD5" w:rsidRDefault="00975714" w:rsidP="00975714">
      <w:pPr>
        <w:ind w:left="2268"/>
        <w:jc w:val="both"/>
        <w:rPr>
          <w:sz w:val="22"/>
          <w:szCs w:val="22"/>
        </w:rPr>
      </w:pPr>
    </w:p>
    <w:p w14:paraId="3A0DDF7A" w14:textId="77777777" w:rsidR="00975714" w:rsidRPr="00B23DD5" w:rsidRDefault="00975714" w:rsidP="00975714">
      <w:pPr>
        <w:ind w:left="2268"/>
        <w:jc w:val="both"/>
        <w:rPr>
          <w:sz w:val="22"/>
          <w:szCs w:val="22"/>
        </w:rPr>
      </w:pPr>
      <w:r w:rsidRPr="00B23DD5">
        <w:rPr>
          <w:sz w:val="22"/>
          <w:szCs w:val="22"/>
        </w:rPr>
        <w:t>I - Nível A, curso de formação de professores;</w:t>
      </w:r>
    </w:p>
    <w:p w14:paraId="41431FB1" w14:textId="77777777" w:rsidR="00975714" w:rsidRPr="00B23DD5" w:rsidRDefault="00975714" w:rsidP="00975714">
      <w:pPr>
        <w:ind w:left="2268"/>
        <w:jc w:val="both"/>
        <w:rPr>
          <w:sz w:val="22"/>
          <w:szCs w:val="22"/>
        </w:rPr>
      </w:pPr>
    </w:p>
    <w:p w14:paraId="47239102" w14:textId="77777777" w:rsidR="00975714" w:rsidRPr="00B23DD5" w:rsidRDefault="00975714" w:rsidP="00975714">
      <w:pPr>
        <w:ind w:left="2268"/>
        <w:jc w:val="both"/>
        <w:rPr>
          <w:sz w:val="22"/>
          <w:szCs w:val="22"/>
        </w:rPr>
      </w:pPr>
      <w:r w:rsidRPr="00B23DD5">
        <w:rPr>
          <w:sz w:val="22"/>
          <w:szCs w:val="22"/>
        </w:rPr>
        <w:t>II - Nível B, curso de formação de professores e estudos adicionais;</w:t>
      </w:r>
    </w:p>
    <w:p w14:paraId="3A7ECD0C" w14:textId="77777777" w:rsidR="00975714" w:rsidRPr="00B23DD5" w:rsidRDefault="00975714" w:rsidP="00975714">
      <w:pPr>
        <w:ind w:left="2268"/>
        <w:jc w:val="both"/>
        <w:rPr>
          <w:sz w:val="22"/>
          <w:szCs w:val="22"/>
        </w:rPr>
      </w:pPr>
    </w:p>
    <w:p w14:paraId="2D8D1E9A" w14:textId="77777777" w:rsidR="00975714" w:rsidRPr="00B23DD5" w:rsidRDefault="00975714" w:rsidP="00975714">
      <w:pPr>
        <w:ind w:left="2268"/>
        <w:jc w:val="both"/>
        <w:rPr>
          <w:sz w:val="22"/>
          <w:szCs w:val="22"/>
        </w:rPr>
      </w:pPr>
      <w:r w:rsidRPr="00B23DD5">
        <w:rPr>
          <w:sz w:val="22"/>
          <w:szCs w:val="22"/>
        </w:rPr>
        <w:lastRenderedPageBreak/>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19DBBA3D" w14:textId="77777777" w:rsidR="00975714" w:rsidRPr="00B23DD5" w:rsidRDefault="00975714" w:rsidP="00975714">
      <w:pPr>
        <w:ind w:left="2268"/>
        <w:jc w:val="both"/>
        <w:rPr>
          <w:sz w:val="22"/>
          <w:szCs w:val="22"/>
        </w:rPr>
      </w:pPr>
    </w:p>
    <w:p w14:paraId="1D8463CB" w14:textId="77777777" w:rsidR="00975714" w:rsidRPr="00B23DD5" w:rsidRDefault="00975714" w:rsidP="00975714">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7AF52DF9" w14:textId="77777777" w:rsidR="00975714" w:rsidRPr="00B23DD5" w:rsidRDefault="00975714" w:rsidP="00975714">
      <w:pPr>
        <w:ind w:left="2268"/>
        <w:jc w:val="both"/>
        <w:rPr>
          <w:sz w:val="22"/>
          <w:szCs w:val="22"/>
        </w:rPr>
      </w:pPr>
    </w:p>
    <w:p w14:paraId="2AF19162" w14:textId="77777777" w:rsidR="00975714" w:rsidRPr="00B23DD5" w:rsidRDefault="00975714" w:rsidP="00975714">
      <w:pPr>
        <w:ind w:left="2268"/>
        <w:jc w:val="both"/>
        <w:rPr>
          <w:sz w:val="22"/>
          <w:szCs w:val="22"/>
        </w:rPr>
      </w:pPr>
      <w:r w:rsidRPr="00B23DD5">
        <w:rPr>
          <w:sz w:val="22"/>
          <w:szCs w:val="22"/>
        </w:rPr>
        <w:t>Art. 22 - A classe de Docente I, abrange os níveis C e D, para os quais se exige a seguinte escolaridade:</w:t>
      </w:r>
    </w:p>
    <w:p w14:paraId="1063340C" w14:textId="77777777" w:rsidR="00975714" w:rsidRPr="00B23DD5" w:rsidRDefault="00975714" w:rsidP="00975714">
      <w:pPr>
        <w:ind w:left="2268"/>
        <w:jc w:val="both"/>
        <w:rPr>
          <w:sz w:val="22"/>
          <w:szCs w:val="22"/>
        </w:rPr>
      </w:pPr>
    </w:p>
    <w:p w14:paraId="48D062DC" w14:textId="77777777" w:rsidR="00975714" w:rsidRPr="00B23DD5" w:rsidRDefault="00975714" w:rsidP="00975714">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7D6D7C18" w14:textId="77777777" w:rsidR="00975714" w:rsidRPr="00B23DD5" w:rsidRDefault="00975714" w:rsidP="00975714">
      <w:pPr>
        <w:ind w:left="2268"/>
        <w:jc w:val="both"/>
        <w:rPr>
          <w:sz w:val="22"/>
          <w:szCs w:val="22"/>
        </w:rPr>
      </w:pPr>
    </w:p>
    <w:p w14:paraId="6C3E8D51"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36C04C25" w14:textId="77777777" w:rsidR="00975714" w:rsidRPr="00B23DD5" w:rsidRDefault="00975714" w:rsidP="00975714">
      <w:pPr>
        <w:ind w:left="2268"/>
        <w:jc w:val="both"/>
        <w:rPr>
          <w:sz w:val="22"/>
          <w:szCs w:val="22"/>
        </w:rPr>
      </w:pPr>
    </w:p>
    <w:p w14:paraId="0A35FAB1" w14:textId="77777777" w:rsidR="00975714" w:rsidRPr="00B23DD5" w:rsidRDefault="00975714" w:rsidP="00975714">
      <w:pPr>
        <w:ind w:left="2268"/>
        <w:jc w:val="both"/>
        <w:rPr>
          <w:sz w:val="22"/>
          <w:szCs w:val="22"/>
        </w:rPr>
      </w:pPr>
      <w:r w:rsidRPr="00B23DD5">
        <w:rPr>
          <w:sz w:val="22"/>
          <w:szCs w:val="22"/>
        </w:rPr>
        <w:t>Art. 23 - A classe de Supervisor Educacional abrange os níveis C e D, para os quais se exige a seguinte escolaridade:</w:t>
      </w:r>
    </w:p>
    <w:p w14:paraId="53DF0435" w14:textId="77777777" w:rsidR="00975714" w:rsidRPr="00B23DD5" w:rsidRDefault="00975714" w:rsidP="00975714">
      <w:pPr>
        <w:ind w:left="2268"/>
        <w:jc w:val="both"/>
        <w:rPr>
          <w:sz w:val="22"/>
          <w:szCs w:val="22"/>
        </w:rPr>
      </w:pPr>
    </w:p>
    <w:p w14:paraId="2DB15007"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0657F02B" w14:textId="77777777" w:rsidR="00975714" w:rsidRPr="00B23DD5" w:rsidRDefault="00975714" w:rsidP="00975714">
      <w:pPr>
        <w:ind w:left="2268"/>
        <w:jc w:val="both"/>
        <w:rPr>
          <w:sz w:val="22"/>
          <w:szCs w:val="22"/>
        </w:rPr>
      </w:pPr>
    </w:p>
    <w:p w14:paraId="76A54A01"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3E1504E5" w14:textId="77777777" w:rsidR="00975714" w:rsidRPr="00B23DD5" w:rsidRDefault="00975714" w:rsidP="00975714">
      <w:pPr>
        <w:ind w:left="2268"/>
        <w:jc w:val="both"/>
        <w:rPr>
          <w:sz w:val="22"/>
          <w:szCs w:val="22"/>
        </w:rPr>
      </w:pPr>
    </w:p>
    <w:p w14:paraId="47699AD6" w14:textId="77777777" w:rsidR="00975714" w:rsidRPr="00B23DD5" w:rsidRDefault="00975714" w:rsidP="00975714">
      <w:pPr>
        <w:ind w:left="2268"/>
        <w:jc w:val="both"/>
        <w:rPr>
          <w:sz w:val="22"/>
          <w:szCs w:val="22"/>
        </w:rPr>
      </w:pPr>
      <w:r w:rsidRPr="00B23DD5">
        <w:rPr>
          <w:sz w:val="22"/>
          <w:szCs w:val="22"/>
        </w:rPr>
        <w:t>Art. 24 - A classe de Orientador Educacional abrange os níveis C e D, para os quais se exige a seguinte escolaridade:</w:t>
      </w:r>
    </w:p>
    <w:p w14:paraId="3965CED2" w14:textId="77777777" w:rsidR="00975714" w:rsidRPr="00B23DD5" w:rsidRDefault="00975714" w:rsidP="00975714">
      <w:pPr>
        <w:ind w:left="2268"/>
        <w:jc w:val="both"/>
        <w:rPr>
          <w:sz w:val="22"/>
          <w:szCs w:val="22"/>
        </w:rPr>
      </w:pPr>
    </w:p>
    <w:p w14:paraId="11BC2848"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7A620B66" w14:textId="77777777" w:rsidR="00975714" w:rsidRPr="00B23DD5" w:rsidRDefault="00975714" w:rsidP="00975714">
      <w:pPr>
        <w:ind w:left="2268"/>
        <w:jc w:val="both"/>
        <w:rPr>
          <w:sz w:val="22"/>
          <w:szCs w:val="22"/>
        </w:rPr>
      </w:pPr>
    </w:p>
    <w:p w14:paraId="1E5C3F91"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53FF6CB9" w14:textId="77777777" w:rsidR="00975714" w:rsidRPr="00B23DD5" w:rsidRDefault="00975714" w:rsidP="00975714">
      <w:pPr>
        <w:ind w:left="2268"/>
        <w:jc w:val="both"/>
        <w:rPr>
          <w:sz w:val="22"/>
          <w:szCs w:val="22"/>
        </w:rPr>
      </w:pPr>
    </w:p>
    <w:p w14:paraId="08FAE740" w14:textId="77777777" w:rsidR="00975714" w:rsidRPr="00B23DD5" w:rsidRDefault="00975714" w:rsidP="00975714">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1C864743" w14:textId="77777777" w:rsidR="00975714" w:rsidRPr="00B23DD5" w:rsidRDefault="00975714" w:rsidP="00975714">
      <w:pPr>
        <w:ind w:left="2268"/>
        <w:jc w:val="both"/>
        <w:rPr>
          <w:sz w:val="22"/>
          <w:szCs w:val="22"/>
        </w:rPr>
      </w:pPr>
    </w:p>
    <w:p w14:paraId="666893FA" w14:textId="77777777" w:rsidR="00975714" w:rsidRPr="00B23DD5" w:rsidRDefault="00975714" w:rsidP="00975714">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5501D854" w14:textId="77777777" w:rsidR="00975714" w:rsidRPr="00B23DD5" w:rsidRDefault="00975714" w:rsidP="00975714">
      <w:pPr>
        <w:ind w:left="2268"/>
        <w:jc w:val="both"/>
        <w:rPr>
          <w:sz w:val="22"/>
          <w:szCs w:val="22"/>
        </w:rPr>
      </w:pPr>
    </w:p>
    <w:p w14:paraId="42D4E7AE" w14:textId="77777777" w:rsidR="00975714" w:rsidRPr="00B23DD5" w:rsidRDefault="00975714" w:rsidP="00975714">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7CC8DDE4" w14:textId="77777777" w:rsidR="00975714" w:rsidRPr="00B23DD5" w:rsidRDefault="00975714" w:rsidP="00975714">
      <w:pPr>
        <w:ind w:left="2268"/>
        <w:jc w:val="both"/>
        <w:rPr>
          <w:sz w:val="22"/>
          <w:szCs w:val="22"/>
        </w:rPr>
      </w:pPr>
    </w:p>
    <w:p w14:paraId="40F5724F" w14:textId="77777777" w:rsidR="00975714" w:rsidRPr="00B23DD5" w:rsidRDefault="00975714" w:rsidP="00975714">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232F0B8E" w14:textId="77777777" w:rsidR="00975714" w:rsidRPr="00B23DD5" w:rsidRDefault="00975714" w:rsidP="00975714">
      <w:pPr>
        <w:ind w:left="2268"/>
        <w:jc w:val="both"/>
        <w:rPr>
          <w:sz w:val="22"/>
          <w:szCs w:val="22"/>
        </w:rPr>
      </w:pPr>
    </w:p>
    <w:p w14:paraId="5EDB0BAB" w14:textId="77777777" w:rsidR="00975714" w:rsidRPr="00B23DD5" w:rsidRDefault="00975714" w:rsidP="00975714">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145B8B19" w14:textId="77777777" w:rsidR="00975714" w:rsidRPr="00B23DD5" w:rsidRDefault="00975714" w:rsidP="00975714">
      <w:pPr>
        <w:ind w:left="2268"/>
        <w:jc w:val="both"/>
        <w:rPr>
          <w:sz w:val="22"/>
          <w:szCs w:val="22"/>
        </w:rPr>
      </w:pPr>
    </w:p>
    <w:p w14:paraId="16F3E7BF" w14:textId="77777777" w:rsidR="00975714" w:rsidRPr="00B23DD5" w:rsidRDefault="00975714" w:rsidP="00975714">
      <w:pPr>
        <w:ind w:left="2268"/>
        <w:jc w:val="both"/>
        <w:rPr>
          <w:sz w:val="22"/>
          <w:szCs w:val="22"/>
        </w:rPr>
      </w:pPr>
      <w:r w:rsidRPr="00B23DD5">
        <w:rPr>
          <w:sz w:val="22"/>
          <w:szCs w:val="22"/>
        </w:rPr>
        <w:t>Art. 26 - A classe de Assistente de Administração Educacional I abrange os níveis C e D, para os quais se exige a seguinte escolaridade:</w:t>
      </w:r>
    </w:p>
    <w:p w14:paraId="260E3D91" w14:textId="77777777" w:rsidR="00975714" w:rsidRPr="00B23DD5" w:rsidRDefault="00975714" w:rsidP="00975714">
      <w:pPr>
        <w:ind w:left="2268"/>
        <w:jc w:val="both"/>
        <w:rPr>
          <w:sz w:val="22"/>
          <w:szCs w:val="22"/>
        </w:rPr>
      </w:pPr>
    </w:p>
    <w:p w14:paraId="0B5C997A"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7A78A0D4" w14:textId="77777777" w:rsidR="00975714" w:rsidRPr="00B23DD5" w:rsidRDefault="00975714" w:rsidP="00975714">
      <w:pPr>
        <w:ind w:left="2268"/>
        <w:jc w:val="both"/>
        <w:rPr>
          <w:sz w:val="22"/>
          <w:szCs w:val="22"/>
        </w:rPr>
      </w:pPr>
    </w:p>
    <w:p w14:paraId="00BED81C"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34755DA6" w14:textId="77777777" w:rsidR="00975714" w:rsidRPr="00B23DD5" w:rsidRDefault="00975714" w:rsidP="00975714">
      <w:pPr>
        <w:ind w:left="2268"/>
        <w:jc w:val="both"/>
        <w:rPr>
          <w:sz w:val="22"/>
          <w:szCs w:val="22"/>
        </w:rPr>
      </w:pPr>
    </w:p>
    <w:p w14:paraId="15967AFB" w14:textId="77777777" w:rsidR="00975714" w:rsidRPr="00B23DD5" w:rsidRDefault="00975714" w:rsidP="00975714">
      <w:pPr>
        <w:ind w:left="2268"/>
        <w:jc w:val="both"/>
        <w:rPr>
          <w:sz w:val="22"/>
          <w:szCs w:val="22"/>
        </w:rPr>
      </w:pPr>
      <w:r w:rsidRPr="00B23DD5">
        <w:rPr>
          <w:sz w:val="22"/>
          <w:szCs w:val="22"/>
        </w:rPr>
        <w:t>Art. 27 - A classe de Inspetor Escolar abrange os níveis C e D, para os quais se exige a seguinte escolaridade:</w:t>
      </w:r>
    </w:p>
    <w:p w14:paraId="48F8ADB6" w14:textId="77777777" w:rsidR="00975714" w:rsidRPr="00B23DD5" w:rsidRDefault="00975714" w:rsidP="00975714">
      <w:pPr>
        <w:ind w:left="2268"/>
        <w:jc w:val="both"/>
        <w:rPr>
          <w:sz w:val="22"/>
          <w:szCs w:val="22"/>
        </w:rPr>
      </w:pPr>
    </w:p>
    <w:p w14:paraId="072CFBFF" w14:textId="77777777" w:rsidR="00975714" w:rsidRPr="00B23DD5" w:rsidRDefault="00975714" w:rsidP="00975714">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63CC0B66" w14:textId="77777777" w:rsidR="00975714" w:rsidRPr="00B23DD5" w:rsidRDefault="00975714" w:rsidP="00975714">
      <w:pPr>
        <w:ind w:left="2268"/>
        <w:jc w:val="both"/>
        <w:rPr>
          <w:sz w:val="22"/>
          <w:szCs w:val="22"/>
        </w:rPr>
      </w:pPr>
    </w:p>
    <w:p w14:paraId="25DE36E0" w14:textId="77777777" w:rsidR="00975714" w:rsidRPr="00B23DD5" w:rsidRDefault="00975714" w:rsidP="00975714">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58EBFBA7" w14:textId="77777777" w:rsidR="00975714" w:rsidRDefault="00975714" w:rsidP="00975714">
      <w:pPr>
        <w:ind w:firstLine="1134"/>
        <w:jc w:val="both"/>
        <w:rPr>
          <w:rFonts w:eastAsia="Calibri"/>
        </w:rPr>
      </w:pPr>
    </w:p>
    <w:p w14:paraId="70220C0F" w14:textId="77777777" w:rsidR="00975714" w:rsidRDefault="00975714" w:rsidP="00975714">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653585D8" w14:textId="77777777" w:rsidR="00975714" w:rsidRPr="007F30B4" w:rsidRDefault="00975714" w:rsidP="00975714">
      <w:pPr>
        <w:jc w:val="both"/>
        <w:rPr>
          <w:rFonts w:eastAsia="Calibri"/>
          <w:sz w:val="20"/>
          <w:szCs w:val="20"/>
        </w:rPr>
      </w:pPr>
    </w:p>
    <w:p w14:paraId="515CACF9" w14:textId="77777777" w:rsidR="00975714" w:rsidRPr="007F30B4" w:rsidRDefault="00975714" w:rsidP="00975714">
      <w:pPr>
        <w:pStyle w:val="ListParagraph"/>
        <w:numPr>
          <w:ilvl w:val="0"/>
          <w:numId w:val="5"/>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6B64AFCF" w14:textId="77777777" w:rsidR="00975714" w:rsidRDefault="00975714" w:rsidP="00975714">
      <w:pPr>
        <w:pStyle w:val="ListParagraph"/>
        <w:numPr>
          <w:ilvl w:val="0"/>
          <w:numId w:val="5"/>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10B992DC" w14:textId="77777777" w:rsidR="00975714" w:rsidRPr="007F30B4" w:rsidRDefault="00975714" w:rsidP="00975714">
      <w:pPr>
        <w:pStyle w:val="ListParagraph"/>
        <w:numPr>
          <w:ilvl w:val="0"/>
          <w:numId w:val="5"/>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3A43C2BC" w14:textId="77777777" w:rsidR="00975714" w:rsidRPr="00830BC8" w:rsidRDefault="00975714" w:rsidP="00975714">
      <w:pPr>
        <w:pStyle w:val="ListParagraph"/>
        <w:numPr>
          <w:ilvl w:val="0"/>
          <w:numId w:val="5"/>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549284B5" w14:textId="77777777" w:rsidR="00975714" w:rsidRPr="007F30B4" w:rsidRDefault="00975714" w:rsidP="00975714">
      <w:pPr>
        <w:spacing w:line="360" w:lineRule="auto"/>
        <w:ind w:firstLine="1134"/>
        <w:jc w:val="both"/>
        <w:rPr>
          <w:rFonts w:eastAsia="Calibri"/>
          <w:sz w:val="16"/>
          <w:szCs w:val="16"/>
        </w:rPr>
      </w:pPr>
    </w:p>
    <w:p w14:paraId="13F9E880" w14:textId="77777777" w:rsidR="00975714" w:rsidRDefault="00975714" w:rsidP="00975714">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5593AAF" w14:textId="77777777" w:rsidR="00975714" w:rsidRDefault="00975714" w:rsidP="00975714">
      <w:pPr>
        <w:spacing w:line="360" w:lineRule="auto"/>
        <w:ind w:firstLine="1134"/>
        <w:jc w:val="both"/>
        <w:rPr>
          <w:rFonts w:eastAsia="Calibri"/>
        </w:rPr>
      </w:pPr>
      <w:r>
        <w:rPr>
          <w:rFonts w:eastAsia="Calibri"/>
        </w:rPr>
        <w:lastRenderedPageBreak/>
        <w:t>O Estado alega que o nível de “entrada” do servidor deve ser compreendido como o nível 01 em relação a uma conta em comparação com os valores Nacionais.</w:t>
      </w:r>
    </w:p>
    <w:p w14:paraId="7B2D30A6" w14:textId="77777777" w:rsidR="00975714" w:rsidRDefault="00975714" w:rsidP="00975714">
      <w:pPr>
        <w:ind w:firstLine="1134"/>
        <w:jc w:val="both"/>
        <w:rPr>
          <w:rFonts w:eastAsia="Calibri"/>
        </w:rPr>
      </w:pPr>
    </w:p>
    <w:p w14:paraId="0FB051DC" w14:textId="77777777" w:rsidR="00975714" w:rsidRDefault="00975714" w:rsidP="00975714">
      <w:pPr>
        <w:spacing w:line="360" w:lineRule="auto"/>
        <w:ind w:firstLine="1134"/>
        <w:jc w:val="both"/>
        <w:rPr>
          <w:rFonts w:eastAsia="Calibri"/>
        </w:rPr>
      </w:pPr>
      <w:r>
        <w:rPr>
          <w:rFonts w:eastAsia="Calibri"/>
        </w:rPr>
        <w:t>Assim, nas categorias que se iniciam no nível 03, este deveria ser considerado o nível 01, o nível inicial da carreira para elaboração dos cálculos, novamente em completo desrespeito ao Plano de Carreira do servidor.</w:t>
      </w:r>
    </w:p>
    <w:p w14:paraId="7A411AA4" w14:textId="77777777" w:rsidR="00975714" w:rsidRDefault="00975714" w:rsidP="00975714">
      <w:pPr>
        <w:ind w:firstLine="1134"/>
        <w:jc w:val="both"/>
        <w:rPr>
          <w:rFonts w:eastAsia="Calibri"/>
        </w:rPr>
      </w:pPr>
    </w:p>
    <w:p w14:paraId="2EA80ED9" w14:textId="77777777" w:rsidR="00975714" w:rsidRDefault="00975714" w:rsidP="00975714">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004E6BAF" w14:textId="77777777" w:rsidR="00975714" w:rsidRDefault="00975714" w:rsidP="007E74DE">
      <w:pPr>
        <w:ind w:firstLine="1134"/>
        <w:jc w:val="both"/>
        <w:rPr>
          <w:rFonts w:eastAsia="Calibri"/>
        </w:rPr>
      </w:pPr>
    </w:p>
    <w:p w14:paraId="5B85CBAD" w14:textId="28948450" w:rsidR="00975714" w:rsidRDefault="00975714" w:rsidP="00975714">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não merece prosperar, devendo as legislações Nacional e Estadual serem respeitadas.</w:t>
      </w:r>
    </w:p>
    <w:p w14:paraId="651B09F1" w14:textId="77777777" w:rsidR="00F14986" w:rsidRDefault="00F14986" w:rsidP="00F1498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Da Conclusão</w:t>
      </w:r>
    </w:p>
    <w:p w14:paraId="59594947" w14:textId="77777777" w:rsidR="00F14986" w:rsidRDefault="00F14986" w:rsidP="00F1498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julgamento procedente da ação, </w:t>
      </w:r>
      <w:r>
        <w:rPr>
          <w:rFonts w:eastAsia="Calibri"/>
        </w:rPr>
        <w:t xml:space="preserve">com a condenação dos Réus em </w:t>
      </w:r>
      <w:r w:rsidRPr="00651AD6">
        <w:rPr>
          <w:rFonts w:eastAsia="Calibri"/>
        </w:rPr>
        <w:t>honorários sucumbenciais, que deverão ser oportunamente</w:t>
      </w:r>
      <w:r>
        <w:rPr>
          <w:rFonts w:eastAsia="Calibri"/>
        </w:rPr>
        <w:t xml:space="preserve"> </w:t>
      </w:r>
      <w:r w:rsidRPr="00651AD6">
        <w:rPr>
          <w:rFonts w:eastAsia="Calibri"/>
        </w:rPr>
        <w:t>fixados após a liquidação do julgado, nos termos do art. 85,</w:t>
      </w:r>
      <w:r>
        <w:rPr>
          <w:rFonts w:eastAsia="Calibri"/>
        </w:rPr>
        <w:t xml:space="preserve"> </w:t>
      </w:r>
      <w:r w:rsidRPr="00651AD6">
        <w:rPr>
          <w:rFonts w:eastAsia="Calibri"/>
        </w:rPr>
        <w:t>§4º, inciso II, do CPC</w:t>
      </w:r>
      <w:r>
        <w:rPr>
          <w:rFonts w:eastAsia="Calibri"/>
        </w:rPr>
        <w:t>.</w:t>
      </w:r>
    </w:p>
    <w:p w14:paraId="515D03C1" w14:textId="77777777" w:rsidR="00F14986" w:rsidRDefault="00F14986" w:rsidP="00F14986">
      <w:pPr>
        <w:spacing w:line="360" w:lineRule="auto"/>
        <w:ind w:firstLine="1134"/>
        <w:jc w:val="both"/>
        <w:rPr>
          <w:rFonts w:eastAsia="Calibri"/>
          <w:sz w:val="12"/>
          <w:szCs w:val="12"/>
        </w:rPr>
      </w:pPr>
    </w:p>
    <w:p w14:paraId="7865F095" w14:textId="77777777" w:rsidR="00F14986" w:rsidRDefault="00F14986" w:rsidP="00F14986">
      <w:pPr>
        <w:spacing w:line="360" w:lineRule="auto"/>
        <w:jc w:val="center"/>
        <w:rPr>
          <w:rFonts w:eastAsia="Calibri"/>
        </w:rPr>
      </w:pPr>
      <w:r>
        <w:rPr>
          <w:rFonts w:eastAsia="Calibri"/>
        </w:rPr>
        <w:t>Nestes termos, pede deferimento.</w:t>
      </w:r>
    </w:p>
    <w:p w14:paraId="79CB6C6D" w14:textId="15635F87" w:rsidR="00F14986" w:rsidRDefault="00F14986" w:rsidP="00F14986">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A90B5B">
        <w:rPr>
          <w:rFonts w:eastAsia="Calibri"/>
          <w:noProof/>
        </w:rPr>
        <w:t>11 de janeiro de 2024</w:t>
      </w:r>
      <w:r>
        <w:rPr>
          <w:rFonts w:eastAsia="Calibri"/>
        </w:rPr>
        <w:fldChar w:fldCharType="end"/>
      </w:r>
      <w:r>
        <w:rPr>
          <w:rFonts w:eastAsia="Calibri"/>
        </w:rPr>
        <w:t>.</w:t>
      </w:r>
    </w:p>
    <w:p w14:paraId="0C0B8BCF" w14:textId="77777777" w:rsidR="00F14986" w:rsidRDefault="00F14986" w:rsidP="00F14986">
      <w:pPr>
        <w:jc w:val="center"/>
        <w:rPr>
          <w:rFonts w:eastAsia="Calibri"/>
        </w:rPr>
      </w:pPr>
    </w:p>
    <w:p w14:paraId="06C2F92B" w14:textId="77777777" w:rsidR="00FC1C3C" w:rsidRPr="005C6A5A" w:rsidRDefault="00FC1C3C" w:rsidP="00613C3A">
      <w:pPr>
        <w:jc w:val="center"/>
        <w:rPr>
          <w:rFonts w:eastAsia="Calibri"/>
          <w:sz w:val="18"/>
        </w:rPr>
      </w:pPr>
    </w:p>
    <w:p w14:paraId="00DDA81D" w14:textId="77777777" w:rsidR="00FC1C3C" w:rsidRDefault="00FC1C3C">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F36C11">
      <w:headerReference w:type="default" r:id="rId21"/>
      <w:footerReference w:type="default" r:id="rId22"/>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5DF1" w14:textId="77777777" w:rsidR="00F36C11" w:rsidRDefault="00F36C11">
      <w:r>
        <w:separator/>
      </w:r>
    </w:p>
  </w:endnote>
  <w:endnote w:type="continuationSeparator" w:id="0">
    <w:p w14:paraId="16DB056A" w14:textId="77777777" w:rsidR="00F36C11" w:rsidRDefault="00F3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F975B2" w:rsidRDefault="00F975B2">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59AFCC91"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8A5A" w14:textId="77777777" w:rsidR="00F36C11" w:rsidRDefault="00F36C11">
      <w:r>
        <w:separator/>
      </w:r>
    </w:p>
  </w:footnote>
  <w:footnote w:type="continuationSeparator" w:id="0">
    <w:p w14:paraId="6B97432C" w14:textId="77777777" w:rsidR="00F36C11" w:rsidRDefault="00F36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29A28BCD" w:rsidR="00F975B2" w:rsidRDefault="00A90B5B">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114300" distR="114300" simplePos="0" relativeHeight="251665408" behindDoc="1" locked="0" layoutInCell="1" allowOverlap="1" wp14:anchorId="5BDA047F" wp14:editId="6ECD1AA7">
          <wp:simplePos x="0" y="0"/>
          <wp:positionH relativeFrom="column">
            <wp:posOffset>3241</wp:posOffset>
          </wp:positionH>
          <wp:positionV relativeFrom="paragraph">
            <wp:posOffset>-327385</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75B2">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F975B2">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261299232">
    <w:abstractNumId w:val="0"/>
  </w:num>
  <w:num w:numId="2" w16cid:durableId="740904138">
    <w:abstractNumId w:val="3"/>
  </w:num>
  <w:num w:numId="3" w16cid:durableId="1910651237">
    <w:abstractNumId w:val="4"/>
  </w:num>
  <w:num w:numId="4" w16cid:durableId="2060323236">
    <w:abstractNumId w:val="2"/>
  </w:num>
  <w:num w:numId="5" w16cid:durableId="188372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37850"/>
    <w:rsid w:val="00076735"/>
    <w:rsid w:val="00076F3B"/>
    <w:rsid w:val="00077383"/>
    <w:rsid w:val="0008521D"/>
    <w:rsid w:val="000E7E2D"/>
    <w:rsid w:val="0018622F"/>
    <w:rsid w:val="001C6D16"/>
    <w:rsid w:val="002426A6"/>
    <w:rsid w:val="00263016"/>
    <w:rsid w:val="002D0D98"/>
    <w:rsid w:val="002D5594"/>
    <w:rsid w:val="003476B2"/>
    <w:rsid w:val="00366882"/>
    <w:rsid w:val="003B2367"/>
    <w:rsid w:val="003C139B"/>
    <w:rsid w:val="003E3CD4"/>
    <w:rsid w:val="004119F2"/>
    <w:rsid w:val="004242DD"/>
    <w:rsid w:val="0045163C"/>
    <w:rsid w:val="004838FA"/>
    <w:rsid w:val="004C2276"/>
    <w:rsid w:val="004C7CF9"/>
    <w:rsid w:val="0050695E"/>
    <w:rsid w:val="00540B26"/>
    <w:rsid w:val="00594688"/>
    <w:rsid w:val="005C6A5A"/>
    <w:rsid w:val="005D0951"/>
    <w:rsid w:val="00613C3A"/>
    <w:rsid w:val="00614F1A"/>
    <w:rsid w:val="006428B7"/>
    <w:rsid w:val="00651AD6"/>
    <w:rsid w:val="006646AF"/>
    <w:rsid w:val="00666F4B"/>
    <w:rsid w:val="006A0DDF"/>
    <w:rsid w:val="00725D42"/>
    <w:rsid w:val="007829E0"/>
    <w:rsid w:val="007A253C"/>
    <w:rsid w:val="007E41CC"/>
    <w:rsid w:val="007E74DE"/>
    <w:rsid w:val="00803F92"/>
    <w:rsid w:val="0089149D"/>
    <w:rsid w:val="008E169B"/>
    <w:rsid w:val="009107F0"/>
    <w:rsid w:val="00923F43"/>
    <w:rsid w:val="00946CB4"/>
    <w:rsid w:val="00971775"/>
    <w:rsid w:val="00975714"/>
    <w:rsid w:val="00990921"/>
    <w:rsid w:val="009A1C0B"/>
    <w:rsid w:val="009C4DFF"/>
    <w:rsid w:val="009C702B"/>
    <w:rsid w:val="009D7E18"/>
    <w:rsid w:val="00A13DE3"/>
    <w:rsid w:val="00A428D4"/>
    <w:rsid w:val="00A50AB4"/>
    <w:rsid w:val="00A620A0"/>
    <w:rsid w:val="00A765F0"/>
    <w:rsid w:val="00A77CBB"/>
    <w:rsid w:val="00A90B5B"/>
    <w:rsid w:val="00AF2448"/>
    <w:rsid w:val="00B46225"/>
    <w:rsid w:val="00B52BBC"/>
    <w:rsid w:val="00B63B7C"/>
    <w:rsid w:val="00BB3934"/>
    <w:rsid w:val="00BE3C86"/>
    <w:rsid w:val="00BF1779"/>
    <w:rsid w:val="00CC0CF1"/>
    <w:rsid w:val="00CC4250"/>
    <w:rsid w:val="00E17681"/>
    <w:rsid w:val="00E2047C"/>
    <w:rsid w:val="00EA372C"/>
    <w:rsid w:val="00EB3A4B"/>
    <w:rsid w:val="00EE2DFC"/>
    <w:rsid w:val="00EF0E71"/>
    <w:rsid w:val="00F06E2B"/>
    <w:rsid w:val="00F14986"/>
    <w:rsid w:val="00F36C11"/>
    <w:rsid w:val="00F5411B"/>
    <w:rsid w:val="00F85A3C"/>
    <w:rsid w:val="00F975B2"/>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gov.br/mec/pt-br/assuntos/noticias/ministerio-da-educacao-eleva-o-piso-nacional-dos-professores-de-r-3-845-63-para-r-4-420-55" TargetMode="External"/><Relationship Id="rId2" Type="http://schemas.openxmlformats.org/officeDocument/2006/relationships/customXml" Target="../customXml/item2.xml"/><Relationship Id="rId16" Type="http://schemas.openxmlformats.org/officeDocument/2006/relationships/hyperlink" Target="https://www.gov.br/pt-br/noticias/educacao-e-pesquisa/2022/01/reajuste-de-33-24-no-piso-salarial-dos-professores-mostra-comprometimento-do-governo-federal-com-a-educacao"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ortal.mec.gov.br/component/tags/tag/32666"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g1.globo.com/rj/rio-de-janeiro/noticia/2022/12/19/comissao-da-alerj-aprova-reajuste-salarial-de-mais-de-60percent-para-castro-e-seus-secretarios.ghtml"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portal.mec.gov.br/busca-geral/211-noticias/218175739/72571-piso-salarial-do-magisterio-sobe-4-17-a-partir-de-janeiro-valor-sera-de-r-2-557-7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68664F-5B6B-4D30-BFFB-D7916A4F1431}" type="doc">
      <dgm:prSet loTypeId="urn:microsoft.com/office/officeart/2005/8/layout/chevron2" loCatId="process" qsTypeId="urn:microsoft.com/office/officeart/2005/8/quickstyle/simple4" qsCatId="simple" csTypeId="urn:microsoft.com/office/officeart/2005/8/colors/accent5_3" csCatId="accent5" phldr="1"/>
      <dgm:spPr/>
      <dgm:t>
        <a:bodyPr/>
        <a:lstStyle/>
        <a:p>
          <a:endParaRPr lang="pt-BR"/>
        </a:p>
      </dgm:t>
    </dgm:pt>
    <dgm:pt modelId="{7B0BA3BE-4554-4731-A9B2-5E7DADC0395A}">
      <dgm:prSet phldrT="[Texto]"/>
      <dgm:spPr>
        <a:solidFill>
          <a:srgbClr val="002060"/>
        </a:solidFill>
      </dgm:spPr>
      <dgm:t>
        <a:bodyPr/>
        <a:lstStyle/>
        <a:p>
          <a:r>
            <a:rPr lang="pt-BR" b="1"/>
            <a:t>Piso Nacional - Lei 11.738/2008</a:t>
          </a:r>
        </a:p>
      </dgm:t>
    </dgm:pt>
    <dgm:pt modelId="{F43B7CED-5BA3-4439-A3D2-C3D5195D952F}" type="parTrans" cxnId="{D306167B-811A-4766-A0C7-CEC8703125F7}">
      <dgm:prSet/>
      <dgm:spPr/>
      <dgm:t>
        <a:bodyPr/>
        <a:lstStyle/>
        <a:p>
          <a:endParaRPr lang="pt-BR"/>
        </a:p>
      </dgm:t>
    </dgm:pt>
    <dgm:pt modelId="{994987F0-21BA-4D43-82C9-DE962E159257}" type="sibTrans" cxnId="{D306167B-811A-4766-A0C7-CEC8703125F7}">
      <dgm:prSet/>
      <dgm:spPr/>
      <dgm:t>
        <a:bodyPr/>
        <a:lstStyle/>
        <a:p>
          <a:endParaRPr lang="pt-BR"/>
        </a:p>
      </dgm:t>
    </dgm:pt>
    <dgm:pt modelId="{53861427-C731-422C-BA83-61B391159056}">
      <dgm:prSet phldrT="[Texto]" custT="1"/>
      <dgm:spPr/>
      <dgm:t>
        <a:bodyPr/>
        <a:lstStyle/>
        <a:p>
          <a:pPr algn="just"/>
          <a:r>
            <a:rPr lang="pt-BR" sz="1000"/>
            <a:t>A Constituição determina em seu art. 39, § 1º, que a remuneração dos servidores públicos é instituída por lei;</a:t>
          </a:r>
        </a:p>
      </dgm:t>
    </dgm:pt>
    <dgm:pt modelId="{313FAABE-4198-44EB-85E3-BA76B9DA489D}" type="parTrans" cxnId="{A79CAF33-8428-4832-92A5-2B3B424EDDE4}">
      <dgm:prSet/>
      <dgm:spPr/>
      <dgm:t>
        <a:bodyPr/>
        <a:lstStyle/>
        <a:p>
          <a:endParaRPr lang="pt-BR"/>
        </a:p>
      </dgm:t>
    </dgm:pt>
    <dgm:pt modelId="{FD0C3922-CE80-42A7-89EF-5828247BE9B5}" type="sibTrans" cxnId="{A79CAF33-8428-4832-92A5-2B3B424EDDE4}">
      <dgm:prSet/>
      <dgm:spPr/>
      <dgm:t>
        <a:bodyPr/>
        <a:lstStyle/>
        <a:p>
          <a:endParaRPr lang="pt-BR"/>
        </a:p>
      </dgm:t>
    </dgm:pt>
    <dgm:pt modelId="{CF4151E8-6FDE-407A-BE27-64888724568B}">
      <dgm:prSet phldrT="[Texto]"/>
      <dgm:spPr>
        <a:solidFill>
          <a:srgbClr val="003399"/>
        </a:solidFill>
      </dgm:spPr>
      <dgm:t>
        <a:bodyPr/>
        <a:lstStyle/>
        <a:p>
          <a:r>
            <a:rPr lang="pt-BR" b="1"/>
            <a:t>Estado do Rio de Janeiro descumpre o Piso</a:t>
          </a:r>
        </a:p>
      </dgm:t>
    </dgm:pt>
    <dgm:pt modelId="{A9EF7A20-4B7E-4173-87CB-72D05864D6BC}" type="parTrans" cxnId="{4B74B69B-CDF8-4C97-BF08-6EB83DFA930D}">
      <dgm:prSet/>
      <dgm:spPr/>
      <dgm:t>
        <a:bodyPr/>
        <a:lstStyle/>
        <a:p>
          <a:endParaRPr lang="pt-BR"/>
        </a:p>
      </dgm:t>
    </dgm:pt>
    <dgm:pt modelId="{C36D959A-4DBA-4665-887D-60145CED33AF}" type="sibTrans" cxnId="{4B74B69B-CDF8-4C97-BF08-6EB83DFA930D}">
      <dgm:prSet/>
      <dgm:spPr/>
      <dgm:t>
        <a:bodyPr/>
        <a:lstStyle/>
        <a:p>
          <a:endParaRPr lang="pt-BR"/>
        </a:p>
      </dgm:t>
    </dgm:pt>
    <dgm:pt modelId="{F1EB436C-4BB7-49DA-835E-18BB70BE516F}">
      <dgm:prSet phldrT="[Texto]" custT="1"/>
      <dgm:spPr/>
      <dgm:t>
        <a:bodyPr/>
        <a:lstStyle/>
        <a:p>
          <a:pPr algn="just"/>
          <a:r>
            <a:rPr lang="pt-BR" sz="1000"/>
            <a:t>O ERJ possui um plano de cargos e salários, mencionado na Lei 1.614/90, o qual determina um interstício de 12% entre referências</a:t>
          </a:r>
        </a:p>
      </dgm:t>
    </dgm:pt>
    <dgm:pt modelId="{A6955CF5-2C47-4D3B-B22E-390A99D97124}" type="parTrans" cxnId="{0924B8DF-AC91-418A-8DA8-701DDAB6589B}">
      <dgm:prSet/>
      <dgm:spPr/>
      <dgm:t>
        <a:bodyPr/>
        <a:lstStyle/>
        <a:p>
          <a:endParaRPr lang="pt-BR"/>
        </a:p>
      </dgm:t>
    </dgm:pt>
    <dgm:pt modelId="{2BFFEAEE-924B-4892-91AB-7962906548AE}" type="sibTrans" cxnId="{0924B8DF-AC91-418A-8DA8-701DDAB6589B}">
      <dgm:prSet/>
      <dgm:spPr/>
      <dgm:t>
        <a:bodyPr/>
        <a:lstStyle/>
        <a:p>
          <a:endParaRPr lang="pt-BR"/>
        </a:p>
      </dgm:t>
    </dgm:pt>
    <dgm:pt modelId="{E6973856-3ED7-4E7E-ABB7-9B2B5EC2FC43}">
      <dgm:prSet phldrT="[Texto]"/>
      <dgm:spPr>
        <a:solidFill>
          <a:srgbClr val="3366CC"/>
        </a:solidFill>
      </dgm:spPr>
      <dgm:t>
        <a:bodyPr/>
        <a:lstStyle/>
        <a:p>
          <a:r>
            <a:rPr lang="pt-BR" b="1"/>
            <a:t>Da parte Autora</a:t>
          </a:r>
        </a:p>
      </dgm:t>
    </dgm:pt>
    <dgm:pt modelId="{0E32C604-3A8A-415F-8DB3-852D15250F9B}" type="parTrans" cxnId="{3AF47E7C-AF8E-4D6A-9CA3-8539A235DBAA}">
      <dgm:prSet/>
      <dgm:spPr/>
      <dgm:t>
        <a:bodyPr/>
        <a:lstStyle/>
        <a:p>
          <a:endParaRPr lang="pt-BR"/>
        </a:p>
      </dgm:t>
    </dgm:pt>
    <dgm:pt modelId="{42EC60B9-E100-4EC2-BB3A-FBAE9FAA9527}" type="sibTrans" cxnId="{3AF47E7C-AF8E-4D6A-9CA3-8539A235DBAA}">
      <dgm:prSet/>
      <dgm:spPr/>
      <dgm:t>
        <a:bodyPr/>
        <a:lstStyle/>
        <a:p>
          <a:endParaRPr lang="pt-BR"/>
        </a:p>
      </dgm:t>
    </dgm:pt>
    <dgm:pt modelId="{B380594D-160E-4AC1-B3EB-C879CBC038AF}">
      <dgm:prSet phldrT="[Texto]"/>
      <dgm:spPr/>
      <dgm:t>
        <a:bodyPr/>
        <a:lstStyle/>
        <a:p>
          <a:pPr algn="just"/>
          <a:r>
            <a:rPr lang="pt-BR"/>
            <a:t>Resta comprovado por meio de contracheques que a Autora possui vínculo com o ERJ;</a:t>
          </a:r>
        </a:p>
      </dgm:t>
    </dgm:pt>
    <dgm:pt modelId="{19A994D7-F6E0-42A1-8676-646C66E58150}" type="parTrans" cxnId="{83F7173A-E615-462F-8D10-7FBF9A871538}">
      <dgm:prSet/>
      <dgm:spPr/>
      <dgm:t>
        <a:bodyPr/>
        <a:lstStyle/>
        <a:p>
          <a:endParaRPr lang="pt-BR"/>
        </a:p>
      </dgm:t>
    </dgm:pt>
    <dgm:pt modelId="{708C1582-0F44-45F7-B390-08D252268F64}" type="sibTrans" cxnId="{83F7173A-E615-462F-8D10-7FBF9A871538}">
      <dgm:prSet/>
      <dgm:spPr/>
      <dgm:t>
        <a:bodyPr/>
        <a:lstStyle/>
        <a:p>
          <a:endParaRPr lang="pt-BR"/>
        </a:p>
      </dgm:t>
    </dgm:pt>
    <dgm:pt modelId="{6B0FF72A-280A-4028-BD54-150448760859}">
      <dgm:prSet custT="1"/>
      <dgm:spPr/>
      <dgm:t>
        <a:bodyPr/>
        <a:lstStyle/>
        <a:p>
          <a:pPr algn="just"/>
          <a:r>
            <a:rPr lang="pt-BR" sz="1000"/>
            <a:t>A carta magna adiante, em seu art. 206, determina a necessidade de piso salarial nacional para os profissionais de educação;</a:t>
          </a:r>
        </a:p>
      </dgm:t>
    </dgm:pt>
    <dgm:pt modelId="{80246374-942F-4F21-8B61-36B04D897D45}" type="parTrans" cxnId="{AF82D741-B712-4229-A9A2-649B9B8ED9C4}">
      <dgm:prSet/>
      <dgm:spPr/>
      <dgm:t>
        <a:bodyPr/>
        <a:lstStyle/>
        <a:p>
          <a:endParaRPr lang="pt-BR"/>
        </a:p>
      </dgm:t>
    </dgm:pt>
    <dgm:pt modelId="{2059E1B1-0B6A-4EC0-95DD-AEF97DA471B6}" type="sibTrans" cxnId="{AF82D741-B712-4229-A9A2-649B9B8ED9C4}">
      <dgm:prSet/>
      <dgm:spPr/>
      <dgm:t>
        <a:bodyPr/>
        <a:lstStyle/>
        <a:p>
          <a:endParaRPr lang="pt-BR"/>
        </a:p>
      </dgm:t>
    </dgm:pt>
    <dgm:pt modelId="{F6371A7C-3C91-4F03-87D6-B336F9B1EC99}">
      <dgm:prSet custT="1"/>
      <dgm:spPr/>
      <dgm:t>
        <a:bodyPr/>
        <a:lstStyle/>
        <a:p>
          <a:pPr algn="just"/>
          <a:r>
            <a:rPr lang="pt-BR" sz="1000"/>
            <a:t>Editada a Lei 11.738/2008, que foi objeto da ADIn 4.167-DF que a Declarou constitucional;</a:t>
          </a:r>
        </a:p>
      </dgm:t>
    </dgm:pt>
    <dgm:pt modelId="{BDA118FB-AD78-4C56-9FBA-1FB1524439A3}" type="parTrans" cxnId="{AEE1C026-E5D8-4911-8C81-5DB7193A483B}">
      <dgm:prSet/>
      <dgm:spPr/>
      <dgm:t>
        <a:bodyPr/>
        <a:lstStyle/>
        <a:p>
          <a:endParaRPr lang="pt-BR"/>
        </a:p>
      </dgm:t>
    </dgm:pt>
    <dgm:pt modelId="{22F57BCF-18D5-4BA8-83CA-D6E00B3D32E4}" type="sibTrans" cxnId="{AEE1C026-E5D8-4911-8C81-5DB7193A483B}">
      <dgm:prSet/>
      <dgm:spPr/>
      <dgm:t>
        <a:bodyPr/>
        <a:lstStyle/>
        <a:p>
          <a:endParaRPr lang="pt-BR"/>
        </a:p>
      </dgm:t>
    </dgm:pt>
    <dgm:pt modelId="{A315B2B5-4AF6-4E7C-A0AE-C490A1E90BC4}">
      <dgm:prSet custT="1"/>
      <dgm:spPr/>
      <dgm:t>
        <a:bodyPr/>
        <a:lstStyle/>
        <a:p>
          <a:pPr algn="just"/>
          <a:r>
            <a:rPr lang="pt-BR" sz="1000"/>
            <a:t>O MEC afirma que "</a:t>
          </a:r>
          <a:r>
            <a:rPr lang="pt-BR" sz="1000" b="0" i="1"/>
            <a:t>Os profissionais com carga horária diferente de 40 horas terão valores de vencimento básico proporcionais, de acordo com essa mesma Lei</a:t>
          </a:r>
          <a:r>
            <a:rPr lang="pt-BR" sz="1000" b="0"/>
            <a:t>"</a:t>
          </a:r>
        </a:p>
      </dgm:t>
    </dgm:pt>
    <dgm:pt modelId="{9176F732-FD5A-4A80-B86B-6880ED4D8F69}" type="parTrans" cxnId="{5FB4EA1E-A89C-47BE-972D-52E9D3CD2EF6}">
      <dgm:prSet/>
      <dgm:spPr/>
      <dgm:t>
        <a:bodyPr/>
        <a:lstStyle/>
        <a:p>
          <a:endParaRPr lang="pt-BR"/>
        </a:p>
      </dgm:t>
    </dgm:pt>
    <dgm:pt modelId="{900517E7-7BF8-4658-B674-E9ED887FC0CC}" type="sibTrans" cxnId="{5FB4EA1E-A89C-47BE-972D-52E9D3CD2EF6}">
      <dgm:prSet/>
      <dgm:spPr/>
      <dgm:t>
        <a:bodyPr/>
        <a:lstStyle/>
        <a:p>
          <a:endParaRPr lang="pt-BR"/>
        </a:p>
      </dgm:t>
    </dgm:pt>
    <dgm:pt modelId="{02C46DF8-4BD5-40CF-9928-840455F59F28}">
      <dgm:prSet custT="1"/>
      <dgm:spPr/>
      <dgm:t>
        <a:bodyPr/>
        <a:lstStyle/>
        <a:p>
          <a:pPr algn="just"/>
          <a:r>
            <a:rPr lang="pt-BR" sz="1000"/>
            <a:t>Os níveis variam entre 01 a 09 a depender da referência do profissional;</a:t>
          </a:r>
        </a:p>
      </dgm:t>
    </dgm:pt>
    <dgm:pt modelId="{66FEA7F0-C77A-41E6-AE4E-14650FA315A2}" type="parTrans" cxnId="{34B30EE7-1DC3-4B38-A855-48F291768382}">
      <dgm:prSet/>
      <dgm:spPr/>
      <dgm:t>
        <a:bodyPr/>
        <a:lstStyle/>
        <a:p>
          <a:endParaRPr lang="pt-BR"/>
        </a:p>
      </dgm:t>
    </dgm:pt>
    <dgm:pt modelId="{82D67B0A-1FA5-48AF-A6D4-6132ECFF9A9D}" type="sibTrans" cxnId="{34B30EE7-1DC3-4B38-A855-48F291768382}">
      <dgm:prSet/>
      <dgm:spPr/>
      <dgm:t>
        <a:bodyPr/>
        <a:lstStyle/>
        <a:p>
          <a:endParaRPr lang="pt-BR"/>
        </a:p>
      </dgm:t>
    </dgm:pt>
    <dgm:pt modelId="{69A593F9-EC65-460D-9EEC-CBE2ACF63B57}">
      <dgm:prSet custT="1"/>
      <dgm:spPr/>
      <dgm:t>
        <a:bodyPr/>
        <a:lstStyle/>
        <a:p>
          <a:pPr algn="just"/>
          <a:r>
            <a:rPr lang="pt-BR" sz="1000"/>
            <a:t>A Lei do Piso determina que o piso tem como base o vencimento e não remuneração total, ou seja, a base deve ser considerada o nível inicial da carreira: 01</a:t>
          </a:r>
        </a:p>
      </dgm:t>
    </dgm:pt>
    <dgm:pt modelId="{9588BE18-354D-4C9A-AAF7-640AE877DF80}" type="parTrans" cxnId="{FD8F8F0B-D706-4CE3-BDA7-20B7E858EBE6}">
      <dgm:prSet/>
      <dgm:spPr/>
      <dgm:t>
        <a:bodyPr/>
        <a:lstStyle/>
        <a:p>
          <a:endParaRPr lang="pt-BR"/>
        </a:p>
      </dgm:t>
    </dgm:pt>
    <dgm:pt modelId="{CCE3D41E-1B75-4894-94A9-C921127E1608}" type="sibTrans" cxnId="{FD8F8F0B-D706-4CE3-BDA7-20B7E858EBE6}">
      <dgm:prSet/>
      <dgm:spPr/>
      <dgm:t>
        <a:bodyPr/>
        <a:lstStyle/>
        <a:p>
          <a:endParaRPr lang="pt-BR"/>
        </a:p>
      </dgm:t>
    </dgm:pt>
    <dgm:pt modelId="{2A8E8439-EE86-4E99-9E1F-510DAD4CF9B5}">
      <dgm:prSet custT="1"/>
      <dgm:spPr/>
      <dgm:t>
        <a:bodyPr/>
        <a:lstStyle/>
        <a:p>
          <a:pPr algn="just"/>
          <a:r>
            <a:rPr lang="pt-BR" sz="1000"/>
            <a:t>Conforme matematicamente demonstrado no tópico III da inicial, as diferenças variam de R$ 500,00 a R$ 2.000,00</a:t>
          </a:r>
        </a:p>
      </dgm:t>
    </dgm:pt>
    <dgm:pt modelId="{79C1A9FF-B845-4130-A4DA-15F1C28FAB16}" type="parTrans" cxnId="{A60A6C5B-270A-44EA-96D1-5F2E2BD1477D}">
      <dgm:prSet/>
      <dgm:spPr/>
      <dgm:t>
        <a:bodyPr/>
        <a:lstStyle/>
        <a:p>
          <a:endParaRPr lang="pt-BR"/>
        </a:p>
      </dgm:t>
    </dgm:pt>
    <dgm:pt modelId="{B397A324-528E-4DA0-B131-3E723C29A463}" type="sibTrans" cxnId="{A60A6C5B-270A-44EA-96D1-5F2E2BD1477D}">
      <dgm:prSet/>
      <dgm:spPr/>
      <dgm:t>
        <a:bodyPr/>
        <a:lstStyle/>
        <a:p>
          <a:endParaRPr lang="pt-BR"/>
        </a:p>
      </dgm:t>
    </dgm:pt>
    <dgm:pt modelId="{E4C41973-8D28-447E-8AE0-5E5F1FA7D059}">
      <dgm:prSet/>
      <dgm:spPr/>
      <dgm:t>
        <a:bodyPr/>
        <a:lstStyle/>
        <a:p>
          <a:pPr algn="just"/>
          <a:r>
            <a:rPr lang="pt-BR"/>
            <a:t>Resta comprovado o cargo que atuou como Professora assim como a carga horária;</a:t>
          </a:r>
        </a:p>
      </dgm:t>
    </dgm:pt>
    <dgm:pt modelId="{BFE7626F-4CE5-4687-843B-BC78912D8654}" type="parTrans" cxnId="{260DE43A-F1FD-469D-A676-22222A137230}">
      <dgm:prSet/>
      <dgm:spPr/>
      <dgm:t>
        <a:bodyPr/>
        <a:lstStyle/>
        <a:p>
          <a:endParaRPr lang="pt-BR"/>
        </a:p>
      </dgm:t>
    </dgm:pt>
    <dgm:pt modelId="{C2FD6A7B-EC01-4FDA-A07B-F7174CE1A202}" type="sibTrans" cxnId="{260DE43A-F1FD-469D-A676-22222A137230}">
      <dgm:prSet/>
      <dgm:spPr/>
      <dgm:t>
        <a:bodyPr/>
        <a:lstStyle/>
        <a:p>
          <a:endParaRPr lang="pt-BR"/>
        </a:p>
      </dgm:t>
    </dgm:pt>
    <dgm:pt modelId="{3463A710-710A-44F7-AAE4-E403B92DD82F}">
      <dgm:prSet/>
      <dgm:spPr/>
      <dgm:t>
        <a:bodyPr/>
        <a:lstStyle/>
        <a:p>
          <a:pPr algn="just"/>
          <a:r>
            <a:rPr lang="pt-BR"/>
            <a:t>Resta comprovado o nível da parte autora;</a:t>
          </a:r>
        </a:p>
      </dgm:t>
    </dgm:pt>
    <dgm:pt modelId="{73E52035-39E1-4062-81EA-E188C316DC1F}" type="parTrans" cxnId="{E12B05F9-3CA8-47A9-A815-677D9AEEF577}">
      <dgm:prSet/>
      <dgm:spPr/>
      <dgm:t>
        <a:bodyPr/>
        <a:lstStyle/>
        <a:p>
          <a:endParaRPr lang="pt-BR"/>
        </a:p>
      </dgm:t>
    </dgm:pt>
    <dgm:pt modelId="{25969A4E-C23A-4A25-A87E-D241EA5989DC}" type="sibTrans" cxnId="{E12B05F9-3CA8-47A9-A815-677D9AEEF577}">
      <dgm:prSet/>
      <dgm:spPr/>
      <dgm:t>
        <a:bodyPr/>
        <a:lstStyle/>
        <a:p>
          <a:endParaRPr lang="pt-BR"/>
        </a:p>
      </dgm:t>
    </dgm:pt>
    <dgm:pt modelId="{D832A444-2CAF-4784-B769-04F3DD070DB2}">
      <dgm:prSet/>
      <dgm:spPr/>
      <dgm:t>
        <a:bodyPr/>
        <a:lstStyle/>
        <a:p>
          <a:pPr algn="just"/>
          <a:r>
            <a:rPr lang="pt-BR"/>
            <a:t>Por um simples cálculo matemático foi possível verificar a existência de defasagem de mais R$1.000,00 entre o valor recebido pela Autora e o que deveria ser pago conforme o Piso Nacional.</a:t>
          </a:r>
        </a:p>
      </dgm:t>
    </dgm:pt>
    <dgm:pt modelId="{FD3AFDB4-28FA-4EBB-AEB7-858240618C07}" type="parTrans" cxnId="{B47A5D7E-F2EE-4354-AA57-A79ECB15907B}">
      <dgm:prSet/>
      <dgm:spPr/>
      <dgm:t>
        <a:bodyPr/>
        <a:lstStyle/>
        <a:p>
          <a:endParaRPr lang="pt-BR"/>
        </a:p>
      </dgm:t>
    </dgm:pt>
    <dgm:pt modelId="{45D2B079-5DDB-4BEC-B122-5F0384B46716}" type="sibTrans" cxnId="{B47A5D7E-F2EE-4354-AA57-A79ECB15907B}">
      <dgm:prSet/>
      <dgm:spPr/>
      <dgm:t>
        <a:bodyPr/>
        <a:lstStyle/>
        <a:p>
          <a:endParaRPr lang="pt-BR"/>
        </a:p>
      </dgm:t>
    </dgm:pt>
    <dgm:pt modelId="{FA537A75-396D-4497-A557-76E923E22069}" type="pres">
      <dgm:prSet presAssocID="{FC68664F-5B6B-4D30-BFFB-D7916A4F1431}" presName="linearFlow" presStyleCnt="0">
        <dgm:presLayoutVars>
          <dgm:dir/>
          <dgm:animLvl val="lvl"/>
          <dgm:resizeHandles val="exact"/>
        </dgm:presLayoutVars>
      </dgm:prSet>
      <dgm:spPr/>
    </dgm:pt>
    <dgm:pt modelId="{0578DA02-C229-4C19-A56E-F0A5E906E456}" type="pres">
      <dgm:prSet presAssocID="{7B0BA3BE-4554-4731-A9B2-5E7DADC0395A}" presName="composite" presStyleCnt="0"/>
      <dgm:spPr/>
    </dgm:pt>
    <dgm:pt modelId="{97C54969-458F-4CF1-B738-888BFC60CE71}" type="pres">
      <dgm:prSet presAssocID="{7B0BA3BE-4554-4731-A9B2-5E7DADC0395A}" presName="parentText" presStyleLbl="alignNode1" presStyleIdx="0" presStyleCnt="3">
        <dgm:presLayoutVars>
          <dgm:chMax val="1"/>
          <dgm:bulletEnabled val="1"/>
        </dgm:presLayoutVars>
      </dgm:prSet>
      <dgm:spPr/>
    </dgm:pt>
    <dgm:pt modelId="{BB8D038D-8F54-4C59-9CB4-26D9DF25DAE7}" type="pres">
      <dgm:prSet presAssocID="{7B0BA3BE-4554-4731-A9B2-5E7DADC0395A}" presName="descendantText" presStyleLbl="alignAcc1" presStyleIdx="0" presStyleCnt="3" custLinFactNeighborX="205" custLinFactNeighborY="2442">
        <dgm:presLayoutVars>
          <dgm:bulletEnabled val="1"/>
        </dgm:presLayoutVars>
      </dgm:prSet>
      <dgm:spPr/>
    </dgm:pt>
    <dgm:pt modelId="{285C1B1A-A4DC-4A35-A1A5-EDD8BBFC57E5}" type="pres">
      <dgm:prSet presAssocID="{994987F0-21BA-4D43-82C9-DE962E159257}" presName="sp" presStyleCnt="0"/>
      <dgm:spPr/>
    </dgm:pt>
    <dgm:pt modelId="{C4DE4CF3-B4DC-4BCF-9F2C-4B5A955CBC52}" type="pres">
      <dgm:prSet presAssocID="{CF4151E8-6FDE-407A-BE27-64888724568B}" presName="composite" presStyleCnt="0"/>
      <dgm:spPr/>
    </dgm:pt>
    <dgm:pt modelId="{9F588EFB-9E8E-497D-A592-2DC5C7599437}" type="pres">
      <dgm:prSet presAssocID="{CF4151E8-6FDE-407A-BE27-64888724568B}" presName="parentText" presStyleLbl="alignNode1" presStyleIdx="1" presStyleCnt="3">
        <dgm:presLayoutVars>
          <dgm:chMax val="1"/>
          <dgm:bulletEnabled val="1"/>
        </dgm:presLayoutVars>
      </dgm:prSet>
      <dgm:spPr/>
    </dgm:pt>
    <dgm:pt modelId="{60BFD296-12FD-4661-95EE-52052764583D}" type="pres">
      <dgm:prSet presAssocID="{CF4151E8-6FDE-407A-BE27-64888724568B}" presName="descendantText" presStyleLbl="alignAcc1" presStyleIdx="1" presStyleCnt="3">
        <dgm:presLayoutVars>
          <dgm:bulletEnabled val="1"/>
        </dgm:presLayoutVars>
      </dgm:prSet>
      <dgm:spPr/>
    </dgm:pt>
    <dgm:pt modelId="{E03C90E6-594A-4555-A1BD-4C830A91AE37}" type="pres">
      <dgm:prSet presAssocID="{C36D959A-4DBA-4665-887D-60145CED33AF}" presName="sp" presStyleCnt="0"/>
      <dgm:spPr/>
    </dgm:pt>
    <dgm:pt modelId="{8ACA00EA-F5F0-4D95-81DB-DF40907B017C}" type="pres">
      <dgm:prSet presAssocID="{E6973856-3ED7-4E7E-ABB7-9B2B5EC2FC43}" presName="composite" presStyleCnt="0"/>
      <dgm:spPr/>
    </dgm:pt>
    <dgm:pt modelId="{EA9EBE4A-CD3D-4672-BCCE-0771AC19323C}" type="pres">
      <dgm:prSet presAssocID="{E6973856-3ED7-4E7E-ABB7-9B2B5EC2FC43}" presName="parentText" presStyleLbl="alignNode1" presStyleIdx="2" presStyleCnt="3">
        <dgm:presLayoutVars>
          <dgm:chMax val="1"/>
          <dgm:bulletEnabled val="1"/>
        </dgm:presLayoutVars>
      </dgm:prSet>
      <dgm:spPr/>
    </dgm:pt>
    <dgm:pt modelId="{AAEEE6F0-8C8F-45C3-BF2F-61DE8A82FCB7}" type="pres">
      <dgm:prSet presAssocID="{E6973856-3ED7-4E7E-ABB7-9B2B5EC2FC43}" presName="descendantText" presStyleLbl="alignAcc1" presStyleIdx="2" presStyleCnt="3">
        <dgm:presLayoutVars>
          <dgm:bulletEnabled val="1"/>
        </dgm:presLayoutVars>
      </dgm:prSet>
      <dgm:spPr/>
    </dgm:pt>
  </dgm:ptLst>
  <dgm:cxnLst>
    <dgm:cxn modelId="{FD8F8F0B-D706-4CE3-BDA7-20B7E858EBE6}" srcId="{CF4151E8-6FDE-407A-BE27-64888724568B}" destId="{69A593F9-EC65-460D-9EEC-CBE2ACF63B57}" srcOrd="2" destOrd="0" parTransId="{9588BE18-354D-4C9A-AAF7-640AE877DF80}" sibTransId="{CCE3D41E-1B75-4894-94A9-C921127E1608}"/>
    <dgm:cxn modelId="{30F2D215-B44E-4589-B9A5-4CB4419F5262}" type="presOf" srcId="{D832A444-2CAF-4784-B769-04F3DD070DB2}" destId="{AAEEE6F0-8C8F-45C3-BF2F-61DE8A82FCB7}" srcOrd="0" destOrd="3" presId="urn:microsoft.com/office/officeart/2005/8/layout/chevron2"/>
    <dgm:cxn modelId="{963BA81D-584E-4649-A60F-E7C3F37D786A}" type="presOf" srcId="{E4C41973-8D28-447E-8AE0-5E5F1FA7D059}" destId="{AAEEE6F0-8C8F-45C3-BF2F-61DE8A82FCB7}" srcOrd="0" destOrd="1" presId="urn:microsoft.com/office/officeart/2005/8/layout/chevron2"/>
    <dgm:cxn modelId="{5FB4EA1E-A89C-47BE-972D-52E9D3CD2EF6}" srcId="{7B0BA3BE-4554-4731-A9B2-5E7DADC0395A}" destId="{A315B2B5-4AF6-4E7C-A0AE-C490A1E90BC4}" srcOrd="3" destOrd="0" parTransId="{9176F732-FD5A-4A80-B86B-6880ED4D8F69}" sibTransId="{900517E7-7BF8-4658-B674-E9ED887FC0CC}"/>
    <dgm:cxn modelId="{AEE1C026-E5D8-4911-8C81-5DB7193A483B}" srcId="{7B0BA3BE-4554-4731-A9B2-5E7DADC0395A}" destId="{F6371A7C-3C91-4F03-87D6-B336F9B1EC99}" srcOrd="2" destOrd="0" parTransId="{BDA118FB-AD78-4C56-9FBA-1FB1524439A3}" sibTransId="{22F57BCF-18D5-4BA8-83CA-D6E00B3D32E4}"/>
    <dgm:cxn modelId="{E367CB32-CBE9-4642-B81E-4E3ABD18B4B0}" type="presOf" srcId="{F1EB436C-4BB7-49DA-835E-18BB70BE516F}" destId="{60BFD296-12FD-4661-95EE-52052764583D}" srcOrd="0" destOrd="0" presId="urn:microsoft.com/office/officeart/2005/8/layout/chevron2"/>
    <dgm:cxn modelId="{A79CAF33-8428-4832-92A5-2B3B424EDDE4}" srcId="{7B0BA3BE-4554-4731-A9B2-5E7DADC0395A}" destId="{53861427-C731-422C-BA83-61B391159056}" srcOrd="0" destOrd="0" parTransId="{313FAABE-4198-44EB-85E3-BA76B9DA489D}" sibTransId="{FD0C3922-CE80-42A7-89EF-5828247BE9B5}"/>
    <dgm:cxn modelId="{83F7173A-E615-462F-8D10-7FBF9A871538}" srcId="{E6973856-3ED7-4E7E-ABB7-9B2B5EC2FC43}" destId="{B380594D-160E-4AC1-B3EB-C879CBC038AF}" srcOrd="0" destOrd="0" parTransId="{19A994D7-F6E0-42A1-8676-646C66E58150}" sibTransId="{708C1582-0F44-45F7-B390-08D252268F64}"/>
    <dgm:cxn modelId="{260DE43A-F1FD-469D-A676-22222A137230}" srcId="{E6973856-3ED7-4E7E-ABB7-9B2B5EC2FC43}" destId="{E4C41973-8D28-447E-8AE0-5E5F1FA7D059}" srcOrd="1" destOrd="0" parTransId="{BFE7626F-4CE5-4687-843B-BC78912D8654}" sibTransId="{C2FD6A7B-EC01-4FDA-A07B-F7174CE1A202}"/>
    <dgm:cxn modelId="{2150043C-C49B-4245-B88A-1745E1C053D1}" type="presOf" srcId="{FC68664F-5B6B-4D30-BFFB-D7916A4F1431}" destId="{FA537A75-396D-4497-A557-76E923E22069}" srcOrd="0" destOrd="0" presId="urn:microsoft.com/office/officeart/2005/8/layout/chevron2"/>
    <dgm:cxn modelId="{A60A6C5B-270A-44EA-96D1-5F2E2BD1477D}" srcId="{CF4151E8-6FDE-407A-BE27-64888724568B}" destId="{2A8E8439-EE86-4E99-9E1F-510DAD4CF9B5}" srcOrd="3" destOrd="0" parTransId="{79C1A9FF-B845-4130-A4DA-15F1C28FAB16}" sibTransId="{B397A324-528E-4DA0-B131-3E723C29A463}"/>
    <dgm:cxn modelId="{AF82D741-B712-4229-A9A2-649B9B8ED9C4}" srcId="{7B0BA3BE-4554-4731-A9B2-5E7DADC0395A}" destId="{6B0FF72A-280A-4028-BD54-150448760859}" srcOrd="1" destOrd="0" parTransId="{80246374-942F-4F21-8B61-36B04D897D45}" sibTransId="{2059E1B1-0B6A-4EC0-95DD-AEF97DA471B6}"/>
    <dgm:cxn modelId="{B6B93342-652B-4383-A382-D2D6682F9033}" type="presOf" srcId="{CF4151E8-6FDE-407A-BE27-64888724568B}" destId="{9F588EFB-9E8E-497D-A592-2DC5C7599437}" srcOrd="0" destOrd="0" presId="urn:microsoft.com/office/officeart/2005/8/layout/chevron2"/>
    <dgm:cxn modelId="{E237F464-2A14-4217-9169-AECC2849CD5A}" type="presOf" srcId="{02C46DF8-4BD5-40CF-9928-840455F59F28}" destId="{60BFD296-12FD-4661-95EE-52052764583D}" srcOrd="0" destOrd="1" presId="urn:microsoft.com/office/officeart/2005/8/layout/chevron2"/>
    <dgm:cxn modelId="{B644F052-7FBE-4B4B-B3C1-3B815136F92E}" type="presOf" srcId="{53861427-C731-422C-BA83-61B391159056}" destId="{BB8D038D-8F54-4C59-9CB4-26D9DF25DAE7}" srcOrd="0" destOrd="0" presId="urn:microsoft.com/office/officeart/2005/8/layout/chevron2"/>
    <dgm:cxn modelId="{F1555957-04B0-422C-9090-FF17D7C4BE39}" type="presOf" srcId="{E6973856-3ED7-4E7E-ABB7-9B2B5EC2FC43}" destId="{EA9EBE4A-CD3D-4672-BCCE-0771AC19323C}" srcOrd="0" destOrd="0" presId="urn:microsoft.com/office/officeart/2005/8/layout/chevron2"/>
    <dgm:cxn modelId="{D306167B-811A-4766-A0C7-CEC8703125F7}" srcId="{FC68664F-5B6B-4D30-BFFB-D7916A4F1431}" destId="{7B0BA3BE-4554-4731-A9B2-5E7DADC0395A}" srcOrd="0" destOrd="0" parTransId="{F43B7CED-5BA3-4439-A3D2-C3D5195D952F}" sibTransId="{994987F0-21BA-4D43-82C9-DE962E159257}"/>
    <dgm:cxn modelId="{3AF47E7C-AF8E-4D6A-9CA3-8539A235DBAA}" srcId="{FC68664F-5B6B-4D30-BFFB-D7916A4F1431}" destId="{E6973856-3ED7-4E7E-ABB7-9B2B5EC2FC43}" srcOrd="2" destOrd="0" parTransId="{0E32C604-3A8A-415F-8DB3-852D15250F9B}" sibTransId="{42EC60B9-E100-4EC2-BB3A-FBAE9FAA9527}"/>
    <dgm:cxn modelId="{39697B7D-D392-4C99-B98C-CE6508AE85A3}" type="presOf" srcId="{6B0FF72A-280A-4028-BD54-150448760859}" destId="{BB8D038D-8F54-4C59-9CB4-26D9DF25DAE7}" srcOrd="0" destOrd="1" presId="urn:microsoft.com/office/officeart/2005/8/layout/chevron2"/>
    <dgm:cxn modelId="{B47A5D7E-F2EE-4354-AA57-A79ECB15907B}" srcId="{E6973856-3ED7-4E7E-ABB7-9B2B5EC2FC43}" destId="{D832A444-2CAF-4784-B769-04F3DD070DB2}" srcOrd="3" destOrd="0" parTransId="{FD3AFDB4-28FA-4EBB-AEB7-858240618C07}" sibTransId="{45D2B079-5DDB-4BEC-B122-5F0384B46716}"/>
    <dgm:cxn modelId="{D57D8E7E-ED36-49FA-89D6-53D6A88D930B}" type="presOf" srcId="{A315B2B5-4AF6-4E7C-A0AE-C490A1E90BC4}" destId="{BB8D038D-8F54-4C59-9CB4-26D9DF25DAE7}" srcOrd="0" destOrd="3" presId="urn:microsoft.com/office/officeart/2005/8/layout/chevron2"/>
    <dgm:cxn modelId="{4B74B69B-CDF8-4C97-BF08-6EB83DFA930D}" srcId="{FC68664F-5B6B-4D30-BFFB-D7916A4F1431}" destId="{CF4151E8-6FDE-407A-BE27-64888724568B}" srcOrd="1" destOrd="0" parTransId="{A9EF7A20-4B7E-4173-87CB-72D05864D6BC}" sibTransId="{C36D959A-4DBA-4665-887D-60145CED33AF}"/>
    <dgm:cxn modelId="{1DB7ABAE-2F8D-4E79-93B7-E2806366E757}" type="presOf" srcId="{B380594D-160E-4AC1-B3EB-C879CBC038AF}" destId="{AAEEE6F0-8C8F-45C3-BF2F-61DE8A82FCB7}" srcOrd="0" destOrd="0" presId="urn:microsoft.com/office/officeart/2005/8/layout/chevron2"/>
    <dgm:cxn modelId="{C7FF6AB6-E78C-4703-9724-8097F35FD271}" type="presOf" srcId="{7B0BA3BE-4554-4731-A9B2-5E7DADC0395A}" destId="{97C54969-458F-4CF1-B738-888BFC60CE71}" srcOrd="0" destOrd="0" presId="urn:microsoft.com/office/officeart/2005/8/layout/chevron2"/>
    <dgm:cxn modelId="{C5682FB9-FA83-4C46-BE9A-DAEBCAC08446}" type="presOf" srcId="{69A593F9-EC65-460D-9EEC-CBE2ACF63B57}" destId="{60BFD296-12FD-4661-95EE-52052764583D}" srcOrd="0" destOrd="2" presId="urn:microsoft.com/office/officeart/2005/8/layout/chevron2"/>
    <dgm:cxn modelId="{CC4B94C8-1960-4AB1-AA00-79F7AE377871}" type="presOf" srcId="{F6371A7C-3C91-4F03-87D6-B336F9B1EC99}" destId="{BB8D038D-8F54-4C59-9CB4-26D9DF25DAE7}" srcOrd="0" destOrd="2" presId="urn:microsoft.com/office/officeart/2005/8/layout/chevron2"/>
    <dgm:cxn modelId="{0924B8DF-AC91-418A-8DA8-701DDAB6589B}" srcId="{CF4151E8-6FDE-407A-BE27-64888724568B}" destId="{F1EB436C-4BB7-49DA-835E-18BB70BE516F}" srcOrd="0" destOrd="0" parTransId="{A6955CF5-2C47-4D3B-B22E-390A99D97124}" sibTransId="{2BFFEAEE-924B-4892-91AB-7962906548AE}"/>
    <dgm:cxn modelId="{34B30EE7-1DC3-4B38-A855-48F291768382}" srcId="{CF4151E8-6FDE-407A-BE27-64888724568B}" destId="{02C46DF8-4BD5-40CF-9928-840455F59F28}" srcOrd="1" destOrd="0" parTransId="{66FEA7F0-C77A-41E6-AE4E-14650FA315A2}" sibTransId="{82D67B0A-1FA5-48AF-A6D4-6132ECFF9A9D}"/>
    <dgm:cxn modelId="{8733D1E9-EEE2-41B9-8C29-FCB597EF071E}" type="presOf" srcId="{2A8E8439-EE86-4E99-9E1F-510DAD4CF9B5}" destId="{60BFD296-12FD-4661-95EE-52052764583D}" srcOrd="0" destOrd="3" presId="urn:microsoft.com/office/officeart/2005/8/layout/chevron2"/>
    <dgm:cxn modelId="{494218F0-CB1A-48C8-9DD1-6DEF705F399D}" type="presOf" srcId="{3463A710-710A-44F7-AAE4-E403B92DD82F}" destId="{AAEEE6F0-8C8F-45C3-BF2F-61DE8A82FCB7}" srcOrd="0" destOrd="2" presId="urn:microsoft.com/office/officeart/2005/8/layout/chevron2"/>
    <dgm:cxn modelId="{E12B05F9-3CA8-47A9-A815-677D9AEEF577}" srcId="{E6973856-3ED7-4E7E-ABB7-9B2B5EC2FC43}" destId="{3463A710-710A-44F7-AAE4-E403B92DD82F}" srcOrd="2" destOrd="0" parTransId="{73E52035-39E1-4062-81EA-E188C316DC1F}" sibTransId="{25969A4E-C23A-4A25-A87E-D241EA5989DC}"/>
    <dgm:cxn modelId="{845792C1-F492-442B-A554-2CEEAE43555C}" type="presParOf" srcId="{FA537A75-396D-4497-A557-76E923E22069}" destId="{0578DA02-C229-4C19-A56E-F0A5E906E456}" srcOrd="0" destOrd="0" presId="urn:microsoft.com/office/officeart/2005/8/layout/chevron2"/>
    <dgm:cxn modelId="{46AFC3AD-9348-48FC-A47B-743BFFFC13B2}" type="presParOf" srcId="{0578DA02-C229-4C19-A56E-F0A5E906E456}" destId="{97C54969-458F-4CF1-B738-888BFC60CE71}" srcOrd="0" destOrd="0" presId="urn:microsoft.com/office/officeart/2005/8/layout/chevron2"/>
    <dgm:cxn modelId="{5F2582C0-B28C-4C9D-B321-165E723B2273}" type="presParOf" srcId="{0578DA02-C229-4C19-A56E-F0A5E906E456}" destId="{BB8D038D-8F54-4C59-9CB4-26D9DF25DAE7}" srcOrd="1" destOrd="0" presId="urn:microsoft.com/office/officeart/2005/8/layout/chevron2"/>
    <dgm:cxn modelId="{8B61EB96-1A1D-439F-9B20-FE9BE3D63095}" type="presParOf" srcId="{FA537A75-396D-4497-A557-76E923E22069}" destId="{285C1B1A-A4DC-4A35-A1A5-EDD8BBFC57E5}" srcOrd="1" destOrd="0" presId="urn:microsoft.com/office/officeart/2005/8/layout/chevron2"/>
    <dgm:cxn modelId="{ED599444-7F0E-4941-9391-5B60B68360F1}" type="presParOf" srcId="{FA537A75-396D-4497-A557-76E923E22069}" destId="{C4DE4CF3-B4DC-4BCF-9F2C-4B5A955CBC52}" srcOrd="2" destOrd="0" presId="urn:microsoft.com/office/officeart/2005/8/layout/chevron2"/>
    <dgm:cxn modelId="{206EC4CA-2BA7-41E9-B6F6-8DBE41E6F4B4}" type="presParOf" srcId="{C4DE4CF3-B4DC-4BCF-9F2C-4B5A955CBC52}" destId="{9F588EFB-9E8E-497D-A592-2DC5C7599437}" srcOrd="0" destOrd="0" presId="urn:microsoft.com/office/officeart/2005/8/layout/chevron2"/>
    <dgm:cxn modelId="{C76A9AEC-B66A-4C15-BFBD-849B924B07EF}" type="presParOf" srcId="{C4DE4CF3-B4DC-4BCF-9F2C-4B5A955CBC52}" destId="{60BFD296-12FD-4661-95EE-52052764583D}" srcOrd="1" destOrd="0" presId="urn:microsoft.com/office/officeart/2005/8/layout/chevron2"/>
    <dgm:cxn modelId="{D5164979-5CD1-4C80-9E7E-8512ED6D3039}" type="presParOf" srcId="{FA537A75-396D-4497-A557-76E923E22069}" destId="{E03C90E6-594A-4555-A1BD-4C830A91AE37}" srcOrd="3" destOrd="0" presId="urn:microsoft.com/office/officeart/2005/8/layout/chevron2"/>
    <dgm:cxn modelId="{E692D72E-5709-49D0-B491-FBB316FC1595}" type="presParOf" srcId="{FA537A75-396D-4497-A557-76E923E22069}" destId="{8ACA00EA-F5F0-4D95-81DB-DF40907B017C}" srcOrd="4" destOrd="0" presId="urn:microsoft.com/office/officeart/2005/8/layout/chevron2"/>
    <dgm:cxn modelId="{DC97E3B4-71D4-4BAC-9443-479F63ECC238}" type="presParOf" srcId="{8ACA00EA-F5F0-4D95-81DB-DF40907B017C}" destId="{EA9EBE4A-CD3D-4672-BCCE-0771AC19323C}" srcOrd="0" destOrd="0" presId="urn:microsoft.com/office/officeart/2005/8/layout/chevron2"/>
    <dgm:cxn modelId="{F5177B17-681E-4D55-AF27-0812E3CA9DFB}" type="presParOf" srcId="{8ACA00EA-F5F0-4D95-81DB-DF40907B017C}" destId="{AAEEE6F0-8C8F-45C3-BF2F-61DE8A82FCB7}"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54969-458F-4CF1-B738-888BFC60CE71}">
      <dsp:nvSpPr>
        <dsp:cNvPr id="0" name=""/>
        <dsp:cNvSpPr/>
      </dsp:nvSpPr>
      <dsp:spPr>
        <a:xfrm rot="5400000">
          <a:off x="-246525" y="251114"/>
          <a:ext cx="1643502" cy="1150451"/>
        </a:xfrm>
        <a:prstGeom prst="chevron">
          <a:avLst/>
        </a:prstGeom>
        <a:solidFill>
          <a:srgbClr val="002060"/>
        </a:soli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t>Piso Nacional - Lei 11.738/2008</a:t>
          </a:r>
        </a:p>
      </dsp:txBody>
      <dsp:txXfrm rot="-5400000">
        <a:off x="1" y="579815"/>
        <a:ext cx="1150451" cy="493051"/>
      </dsp:txXfrm>
    </dsp:sp>
    <dsp:sp modelId="{BB8D038D-8F54-4C59-9CB4-26D9DF25DAE7}">
      <dsp:nvSpPr>
        <dsp:cNvPr id="0" name=""/>
        <dsp:cNvSpPr/>
      </dsp:nvSpPr>
      <dsp:spPr>
        <a:xfrm rot="5400000">
          <a:off x="3346262" y="-2165134"/>
          <a:ext cx="1068276" cy="5459898"/>
        </a:xfrm>
        <a:prstGeom prst="round2Same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pt-BR" sz="1000" kern="1200"/>
            <a:t>A Constituição determina em seu art. 39, § 1º, que a remuneração dos servidores públicos é instituída por lei;</a:t>
          </a:r>
        </a:p>
        <a:p>
          <a:pPr marL="57150" lvl="1" indent="-57150" algn="just" defTabSz="444500">
            <a:lnSpc>
              <a:spcPct val="90000"/>
            </a:lnSpc>
            <a:spcBef>
              <a:spcPct val="0"/>
            </a:spcBef>
            <a:spcAft>
              <a:spcPct val="15000"/>
            </a:spcAft>
            <a:buChar char="•"/>
          </a:pPr>
          <a:r>
            <a:rPr lang="pt-BR" sz="1000" kern="1200"/>
            <a:t>A carta magna adiante, em seu art. 206, determina a necessidade de piso salarial nacional para os profissionais de educação;</a:t>
          </a:r>
        </a:p>
        <a:p>
          <a:pPr marL="57150" lvl="1" indent="-57150" algn="just" defTabSz="444500">
            <a:lnSpc>
              <a:spcPct val="90000"/>
            </a:lnSpc>
            <a:spcBef>
              <a:spcPct val="0"/>
            </a:spcBef>
            <a:spcAft>
              <a:spcPct val="15000"/>
            </a:spcAft>
            <a:buChar char="•"/>
          </a:pPr>
          <a:r>
            <a:rPr lang="pt-BR" sz="1000" kern="1200"/>
            <a:t>Editada a Lei 11.738/2008, que foi objeto da ADIn 4.167-DF que a Declarou constitucional;</a:t>
          </a:r>
        </a:p>
        <a:p>
          <a:pPr marL="57150" lvl="1" indent="-57150" algn="just" defTabSz="444500">
            <a:lnSpc>
              <a:spcPct val="90000"/>
            </a:lnSpc>
            <a:spcBef>
              <a:spcPct val="0"/>
            </a:spcBef>
            <a:spcAft>
              <a:spcPct val="15000"/>
            </a:spcAft>
            <a:buChar char="•"/>
          </a:pPr>
          <a:r>
            <a:rPr lang="pt-BR" sz="1000" kern="1200"/>
            <a:t>O MEC afirma que "</a:t>
          </a:r>
          <a:r>
            <a:rPr lang="pt-BR" sz="1000" b="0" i="1" kern="1200"/>
            <a:t>Os profissionais com carga horária diferente de 40 horas terão valores de vencimento básico proporcionais, de acordo com essa mesma Lei</a:t>
          </a:r>
          <a:r>
            <a:rPr lang="pt-BR" sz="1000" b="0" kern="1200"/>
            <a:t>"</a:t>
          </a:r>
        </a:p>
      </dsp:txBody>
      <dsp:txXfrm rot="-5400000">
        <a:off x="1150452" y="82825"/>
        <a:ext cx="5407749" cy="963978"/>
      </dsp:txXfrm>
    </dsp:sp>
    <dsp:sp modelId="{9F588EFB-9E8E-497D-A592-2DC5C7599437}">
      <dsp:nvSpPr>
        <dsp:cNvPr id="0" name=""/>
        <dsp:cNvSpPr/>
      </dsp:nvSpPr>
      <dsp:spPr>
        <a:xfrm rot="5400000">
          <a:off x="-246525" y="1701249"/>
          <a:ext cx="1643502" cy="1150451"/>
        </a:xfrm>
        <a:prstGeom prst="chevron">
          <a:avLst/>
        </a:prstGeom>
        <a:solidFill>
          <a:srgbClr val="003399"/>
        </a:solidFill>
        <a:ln w="6350" cap="flat" cmpd="sng" algn="ctr">
          <a:solidFill>
            <a:schemeClr val="accent5">
              <a:shade val="80000"/>
              <a:hueOff val="174641"/>
              <a:satOff val="-3128"/>
              <a:lumOff val="1329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t>Estado do Rio de Janeiro descumpre o Piso</a:t>
          </a:r>
        </a:p>
      </dsp:txBody>
      <dsp:txXfrm rot="-5400000">
        <a:off x="1" y="2029950"/>
        <a:ext cx="1150451" cy="493051"/>
      </dsp:txXfrm>
    </dsp:sp>
    <dsp:sp modelId="{60BFD296-12FD-4661-95EE-52052764583D}">
      <dsp:nvSpPr>
        <dsp:cNvPr id="0" name=""/>
        <dsp:cNvSpPr/>
      </dsp:nvSpPr>
      <dsp:spPr>
        <a:xfrm rot="5400000">
          <a:off x="3346262" y="-741087"/>
          <a:ext cx="1068276" cy="5459898"/>
        </a:xfrm>
        <a:prstGeom prst="round2SameRect">
          <a:avLst/>
        </a:prstGeom>
        <a:solidFill>
          <a:schemeClr val="lt1">
            <a:alpha val="90000"/>
            <a:hueOff val="0"/>
            <a:satOff val="0"/>
            <a:lumOff val="0"/>
            <a:alphaOff val="0"/>
          </a:schemeClr>
        </a:solidFill>
        <a:ln w="6350" cap="flat" cmpd="sng" algn="ctr">
          <a:solidFill>
            <a:schemeClr val="accent5">
              <a:shade val="80000"/>
              <a:hueOff val="174641"/>
              <a:satOff val="-3128"/>
              <a:lumOff val="1329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pt-BR" sz="1000" kern="1200"/>
            <a:t>O ERJ possui um plano de cargos e salários, mencionado na Lei 1.614/90, o qual determina um interstício de 12% entre referências</a:t>
          </a:r>
        </a:p>
        <a:p>
          <a:pPr marL="57150" lvl="1" indent="-57150" algn="just" defTabSz="444500">
            <a:lnSpc>
              <a:spcPct val="90000"/>
            </a:lnSpc>
            <a:spcBef>
              <a:spcPct val="0"/>
            </a:spcBef>
            <a:spcAft>
              <a:spcPct val="15000"/>
            </a:spcAft>
            <a:buChar char="•"/>
          </a:pPr>
          <a:r>
            <a:rPr lang="pt-BR" sz="1000" kern="1200"/>
            <a:t>Os níveis variam entre 01 a 09 a depender da referência do profissional;</a:t>
          </a:r>
        </a:p>
        <a:p>
          <a:pPr marL="57150" lvl="1" indent="-57150" algn="just" defTabSz="444500">
            <a:lnSpc>
              <a:spcPct val="90000"/>
            </a:lnSpc>
            <a:spcBef>
              <a:spcPct val="0"/>
            </a:spcBef>
            <a:spcAft>
              <a:spcPct val="15000"/>
            </a:spcAft>
            <a:buChar char="•"/>
          </a:pPr>
          <a:r>
            <a:rPr lang="pt-BR" sz="1000" kern="1200"/>
            <a:t>A Lei do Piso determina que o piso tem como base o vencimento e não remuneração total, ou seja, a base deve ser considerada o nível inicial da carreira: 01</a:t>
          </a:r>
        </a:p>
        <a:p>
          <a:pPr marL="57150" lvl="1" indent="-57150" algn="just" defTabSz="444500">
            <a:lnSpc>
              <a:spcPct val="90000"/>
            </a:lnSpc>
            <a:spcBef>
              <a:spcPct val="0"/>
            </a:spcBef>
            <a:spcAft>
              <a:spcPct val="15000"/>
            </a:spcAft>
            <a:buChar char="•"/>
          </a:pPr>
          <a:r>
            <a:rPr lang="pt-BR" sz="1000" kern="1200"/>
            <a:t>Conforme matematicamente demonstrado no tópico III da inicial, as diferenças variam de R$ 500,00 a R$ 2.000,00</a:t>
          </a:r>
        </a:p>
      </dsp:txBody>
      <dsp:txXfrm rot="-5400000">
        <a:off x="1150452" y="1506872"/>
        <a:ext cx="5407749" cy="963978"/>
      </dsp:txXfrm>
    </dsp:sp>
    <dsp:sp modelId="{EA9EBE4A-CD3D-4672-BCCE-0771AC19323C}">
      <dsp:nvSpPr>
        <dsp:cNvPr id="0" name=""/>
        <dsp:cNvSpPr/>
      </dsp:nvSpPr>
      <dsp:spPr>
        <a:xfrm rot="5400000">
          <a:off x="-246525" y="3151384"/>
          <a:ext cx="1643502" cy="1150451"/>
        </a:xfrm>
        <a:prstGeom prst="chevron">
          <a:avLst/>
        </a:prstGeom>
        <a:solidFill>
          <a:srgbClr val="3366CC"/>
        </a:solidFill>
        <a:ln w="6350" cap="flat" cmpd="sng" algn="ctr">
          <a:solidFill>
            <a:schemeClr val="accent5">
              <a:shade val="80000"/>
              <a:hueOff val="349283"/>
              <a:satOff val="-6256"/>
              <a:lumOff val="2658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1" kern="1200"/>
            <a:t>Da parte Autora</a:t>
          </a:r>
        </a:p>
      </dsp:txBody>
      <dsp:txXfrm rot="-5400000">
        <a:off x="1" y="3480085"/>
        <a:ext cx="1150451" cy="493051"/>
      </dsp:txXfrm>
    </dsp:sp>
    <dsp:sp modelId="{AAEEE6F0-8C8F-45C3-BF2F-61DE8A82FCB7}">
      <dsp:nvSpPr>
        <dsp:cNvPr id="0" name=""/>
        <dsp:cNvSpPr/>
      </dsp:nvSpPr>
      <dsp:spPr>
        <a:xfrm rot="5400000">
          <a:off x="3346262" y="709048"/>
          <a:ext cx="1068276" cy="5459898"/>
        </a:xfrm>
        <a:prstGeom prst="round2SameRect">
          <a:avLst/>
        </a:prstGeom>
        <a:solidFill>
          <a:schemeClr val="lt1">
            <a:alpha val="90000"/>
            <a:hueOff val="0"/>
            <a:satOff val="0"/>
            <a:lumOff val="0"/>
            <a:alphaOff val="0"/>
          </a:schemeClr>
        </a:solidFill>
        <a:ln w="6350" cap="flat" cmpd="sng" algn="ctr">
          <a:solidFill>
            <a:schemeClr val="accent5">
              <a:shade val="80000"/>
              <a:hueOff val="349283"/>
              <a:satOff val="-6256"/>
              <a:lumOff val="2658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pt-BR" sz="1000" kern="1200"/>
            <a:t>Resta comprovado por meio de contracheques que a Autora possui vínculo com o ERJ;</a:t>
          </a:r>
        </a:p>
        <a:p>
          <a:pPr marL="57150" lvl="1" indent="-57150" algn="just" defTabSz="444500">
            <a:lnSpc>
              <a:spcPct val="90000"/>
            </a:lnSpc>
            <a:spcBef>
              <a:spcPct val="0"/>
            </a:spcBef>
            <a:spcAft>
              <a:spcPct val="15000"/>
            </a:spcAft>
            <a:buChar char="•"/>
          </a:pPr>
          <a:r>
            <a:rPr lang="pt-BR" sz="1000" kern="1200"/>
            <a:t>Resta comprovado o cargo que atuou como Professora assim como a carga horária;</a:t>
          </a:r>
        </a:p>
        <a:p>
          <a:pPr marL="57150" lvl="1" indent="-57150" algn="just" defTabSz="444500">
            <a:lnSpc>
              <a:spcPct val="90000"/>
            </a:lnSpc>
            <a:spcBef>
              <a:spcPct val="0"/>
            </a:spcBef>
            <a:spcAft>
              <a:spcPct val="15000"/>
            </a:spcAft>
            <a:buChar char="•"/>
          </a:pPr>
          <a:r>
            <a:rPr lang="pt-BR" sz="1000" kern="1200"/>
            <a:t>Resta comprovado o nível da parte autora;</a:t>
          </a:r>
        </a:p>
        <a:p>
          <a:pPr marL="57150" lvl="1" indent="-57150" algn="just" defTabSz="444500">
            <a:lnSpc>
              <a:spcPct val="90000"/>
            </a:lnSpc>
            <a:spcBef>
              <a:spcPct val="0"/>
            </a:spcBef>
            <a:spcAft>
              <a:spcPct val="15000"/>
            </a:spcAft>
            <a:buChar char="•"/>
          </a:pPr>
          <a:r>
            <a:rPr lang="pt-BR" sz="1000" kern="1200"/>
            <a:t>Por um simples cálculo matemático foi possível verificar a existência de defasagem de mais R$1.000,00 entre o valor recebido pela Autora e o que deveria ser pago conforme o Piso Nacional.</a:t>
          </a:r>
        </a:p>
      </dsp:txBody>
      <dsp:txXfrm rot="-5400000">
        <a:off x="1150452" y="2957008"/>
        <a:ext cx="5407749" cy="96397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Props1.xml><?xml version="1.0" encoding="utf-8"?>
<ds:datastoreItem xmlns:ds="http://schemas.openxmlformats.org/officeDocument/2006/customXml" ds:itemID="{5B674539-3EF3-46CC-AC99-194CABEFD6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5021</Words>
  <Characters>28621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13</cp:revision>
  <cp:lastPrinted>2023-08-22T09:59:00Z</cp:lastPrinted>
  <dcterms:created xsi:type="dcterms:W3CDTF">2023-08-22T09:59:00Z</dcterms:created>
  <dcterms:modified xsi:type="dcterms:W3CDTF">2024-01-11T11:37:00Z</dcterms:modified>
</cp:coreProperties>
</file>