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Отчёт по лабораторной работе 3</w:t>
      </w:r>
    </w:p>
    <w:p w:rsidR="00000000" w:rsidDel="00000000" w:rsidP="00000000" w:rsidRDefault="00000000" w:rsidRPr="00000000" w14:paraId="00000002">
      <w:pPr>
        <w:pStyle w:val="Subtitle"/>
        <w:rPr/>
      </w:pPr>
      <w:r w:rsidDel="00000000" w:rsidR="00000000" w:rsidRPr="00000000">
        <w:rPr>
          <w:rtl w:val="0"/>
        </w:rPr>
        <w:t xml:space="preserve">Простейший вариант</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Волчкова Елизавета Дмитриевна</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bookmarkStart w:colFirst="0" w:colLast="0" w:name="gjdgxs" w:id="0"/>
    <w:bookmarkEnd w:id="0"/>
    <w:p w:rsidR="00000000" w:rsidDel="00000000" w:rsidP="00000000" w:rsidRDefault="00000000" w:rsidRPr="00000000" w14:paraId="00000007">
      <w:pPr>
        <w:pStyle w:val="Heading1"/>
        <w:rPr/>
      </w:pPr>
      <w:r w:rsidDel="00000000" w:rsidR="00000000" w:rsidRPr="00000000">
        <w:rPr>
          <w:rtl w:val="0"/>
        </w:rPr>
        <w:t xml:space="preserve">Цель работы</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Целью работы является освоение процедуры оформления отчетов с помощью легковесного языка разметки Markdown.</w:t>
      </w:r>
    </w:p>
    <w:bookmarkStart w:colFirst="0" w:colLast="0" w:name="30j0zll" w:id="1"/>
    <w:bookmarkEnd w:id="1"/>
    <w:p w:rsidR="00000000" w:rsidDel="00000000" w:rsidP="00000000" w:rsidRDefault="00000000" w:rsidRPr="00000000" w14:paraId="00000009">
      <w:pPr>
        <w:pStyle w:val="Heading1"/>
        <w:rPr/>
      </w:pPr>
      <w:r w:rsidDel="00000000" w:rsidR="00000000" w:rsidRPr="00000000">
        <w:rPr>
          <w:rtl w:val="0"/>
        </w:rPr>
        <w:t xml:space="preserve">Задание</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соответствующем каталоге сделайте отчёт по лабораторной работе № 2 в формате Markdown. В качестве отчёта необходимо предоставить отчёты в 3 форматах: pdf, docx и md.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Загрузите файлы на github.</w:t>
      </w:r>
    </w:p>
    <w:bookmarkStart w:colFirst="0" w:colLast="0" w:name="1fob9te" w:id="2"/>
    <w:bookmarkEnd w:id="2"/>
    <w:p w:rsidR="00000000" w:rsidDel="00000000" w:rsidP="00000000" w:rsidRDefault="00000000" w:rsidRPr="00000000" w14:paraId="0000000C">
      <w:pPr>
        <w:pStyle w:val="Heading1"/>
        <w:rPr/>
      </w:pPr>
      <w:r w:rsidDel="00000000" w:rsidR="00000000" w:rsidRPr="00000000">
        <w:rPr>
          <w:rtl w:val="0"/>
        </w:rPr>
        <w:t xml:space="preserve">Теоретическое введение</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Чтобы создать заголовок, используйте знак #, например: # This is heading 1 ## This is heading 2 ### This is heading 3 #### This is heading 4 Чтобы задать для текста полужирное начертание, заключите его в двойные звездочки: This text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Чтобы задать для текста курсивное начертание, заключите его в одинарные звездочки: This text 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italic</w:t>
      </w:r>
      <w:r w:rsidDel="00000000" w:rsidR="00000000" w:rsidRPr="00000000">
        <w:rPr>
          <w:rtl w:val="0"/>
        </w:rPr>
      </w:r>
    </w:p>
    <w:bookmarkStart w:colFirst="0" w:colLast="0" w:name="3znysh7" w:id="3"/>
    <w:bookmarkEnd w:id="3"/>
    <w:p w:rsidR="00000000" w:rsidDel="00000000" w:rsidP="00000000" w:rsidRDefault="00000000" w:rsidRPr="00000000" w14:paraId="0000000E">
      <w:pPr>
        <w:pStyle w:val="Heading1"/>
        <w:rPr/>
      </w:pPr>
      <w:r w:rsidDel="00000000" w:rsidR="00000000" w:rsidRPr="00000000">
        <w:rPr>
          <w:rtl w:val="0"/>
        </w:rPr>
        <w:t xml:space="preserve">Выполнение лабораторной работы</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Открыла</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терминал и создала заголовок, используя знак #, например: # This is heading 1 ## This is heading 2 ### This is heading 3 #### This is heading 4 Задала для текста полужирное начертание, заключила его в двойные звездочки: This text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а для того чтобы сделать для текста курсивное начертание, заключила его в одинарные звездочки: This text 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italic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Затем задала полужирное и курсивное начертание, заключите его в тройные звездочки: This is text is both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bold and italic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Потом создала блоки цитирования с помощью символа &gt;: &gt;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43400" cy="29718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343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Далее я упорядоченный список отформатировала с помощью соответствующих цифр: 1. First instruction 1.Sub-instruction 1. Sub-instruction 1. Second instruction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048125" cy="82867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0481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Потом вложила один список в другой, далее добавила отступ для элементов дочернего списка: 1. First instruction 1. Second instruction 1. Third instruction</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067175" cy="1609725"/>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0671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Я отформатировала неупорядоченный (маркированный) список с помощью звездочек или тире: * List item 1 * List item 2 * List item 3 Но, чтобы вложить один список в другой, я добавила отступ для элементов дочернего списка: - List item 1 - List item A - List item B - List item 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drawing>
          <wp:inline distB="114300" distT="114300" distL="114300" distR="114300">
            <wp:extent cx="3867150" cy="1724025"/>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8671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 как синтаксис Markdown для встроенной ссылки состоит из части [link text], представляющей текст гиперссылки, и части (file-name.md) – URL- адреса или имени файла, на который дается ссылка: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link text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или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link text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Я ввела эти ссылки. Теория: Огражденные блоки кода — это простой способ выделить синтаксис для фрагментов кода. Общий формат огражденных блоков кода: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language your code goes in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я ввела эту команду.</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895725" cy="1114425"/>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8957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Я ввела ормула sin2 (x) + cos2 (x) = 1, которая записывается так: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sin</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cos</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Выключение формулы: sin2 (x) + cos2 (x) = 1 (3.1) со ссылкой в тексте «Смотри формулу ({-eq. 3.1}).» я записала, как:</w:t>
      </w:r>
    </w:p>
    <w:p w:rsidR="00000000" w:rsidDel="00000000" w:rsidP="00000000" w:rsidRDefault="00000000" w:rsidRPr="00000000" w14:paraId="0000001B">
      <w:pPr>
        <w:jc w:val="center"/>
        <w:rPr>
          <w:rFonts w:ascii="Cambria" w:cs="Cambria" w:eastAsia="Cambria" w:hAnsi="Cambria"/>
          <w:b w:val="0"/>
          <w:i w:val="0"/>
          <w:smallCaps w:val="0"/>
          <w:strike w:val="0"/>
          <w:color w:val="000000"/>
          <w:sz w:val="24"/>
          <w:szCs w:val="24"/>
          <w:u w:val="none"/>
          <w:shd w:fill="auto" w:val="clear"/>
          <w:vertAlign w:val="baseline"/>
        </w:rPr>
      </w:pP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sin</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cos</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{#eq:eq1} Смотри формулу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[-@eq:eq1]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62450" cy="118110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3624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конце преобразовала файл README.md таким образом: pandoc README.md -o README.pdf</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286250" cy="1590675"/>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286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Выполняя з</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адание для самостоятельной работы</w:t>
      </w:r>
      <w:r w:rsidDel="00000000" w:rsidR="00000000" w:rsidRPr="00000000">
        <w:rPr>
          <w:rtl w:val="0"/>
        </w:rPr>
        <w:t xml:space="preserve"> в</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соответствующем каталоге сделала по лабораторной работе № 2 отчёт в формате Markdown. В качестве отчёта предоставила отчёты в 3 форматах: pdf, docx и md. Загрузила все  файлы на github.</w:t>
      </w:r>
    </w:p>
    <w:bookmarkStart w:colFirst="0" w:colLast="0" w:name="2et92p0" w:id="4"/>
    <w:bookmarkEnd w:id="4"/>
    <w:p w:rsidR="00000000" w:rsidDel="00000000" w:rsidP="00000000" w:rsidRDefault="00000000" w:rsidRPr="00000000" w14:paraId="00000022">
      <w:pPr>
        <w:pStyle w:val="Heading1"/>
        <w:rPr/>
      </w:pPr>
      <w:r w:rsidDel="00000000" w:rsidR="00000000" w:rsidRPr="00000000">
        <w:rPr>
          <w:rtl w:val="0"/>
        </w:rPr>
        <w:t xml:space="preserve">Выводы</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Целью работы было освоение процедуры оформления отчетов с помощью легковесного языка разметки Markdown. Проделав данные задания я поняла как оформлять </w:t>
      </w:r>
      <w:r w:rsidDel="00000000" w:rsidR="00000000" w:rsidRPr="00000000">
        <w:rPr>
          <w:rtl w:val="0"/>
        </w:rPr>
        <w:t xml:space="preserve">отчеты</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 помощью Markdown.</w:t>
      </w:r>
    </w:p>
    <w:bookmarkStart w:colFirst="0" w:colLast="0" w:name="tyjcwt" w:id="5"/>
    <w:bookmarkEnd w:id="5"/>
    <w:p w:rsidR="00000000" w:rsidDel="00000000" w:rsidP="00000000" w:rsidRDefault="00000000" w:rsidRPr="00000000" w14:paraId="00000024">
      <w:pPr>
        <w:pStyle w:val="Heading1"/>
        <w:rPr/>
      </w:pPr>
      <w:r w:rsidDel="00000000" w:rsidR="00000000" w:rsidRPr="00000000">
        <w:rPr>
          <w:rtl w:val="0"/>
        </w:rPr>
        <w:t xml:space="preserve">Список литературы</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Список литературы 1. GDB: The GNU Project Debugger. — URL: https://www.gnu.org/software/gdb/. 2. GNU Bash Manual. — 2016. — URL: https://www.gnu.org/software/bash/manual/. 3. Midnight Commander Development Center. — 2021. — URL: https://midnight-commander. org/. 4. NASM Assembly Language Tutorials. — 2021. — URL: https://asmtutor.com/. 5. Newham C. Learning the bash Shell: Unix Shell Programming. — O’Reilly Media, 2005. — 354 с. — (In a Nutshell). — ISBN 0596009658. — URL: http://www.amazon.com/Learningbash-Shell-Programming-Nutshell/dp/0596009658. 6. Robbins A. Bash Pocket Reference. — O’Reilly Media, 2016. — 156 с. — ISBN 978-1491941591. 7. The NASM documentation. — 2021. — URL: https://www.nasm.us/docs.php. 8. Zarrelli G. Mastering Bash. — Packt Publishing, 2017. — 502 с. — ISBN 9781784396879. 9. Колдаев В. Д., Лупин С. А. Архитектура ЭВМ. — М. : Форум, 2018. 10. Куляс О. Л., Никитин К. А. Курс программирования на ASSEMBLER. — М. : Солон-Пресс, 2017. 11. Новожилов О. П. Архитектура ЭВМ и систем. — М. : Юрайт, 2016. 12. Расширенный ассемблер: NASM. — 2021. — URL: https://www.opennet.ru/docs/RUS/nasm/. 13. Робачевский А., Немнюгин С., Стесик О. Операционная система UNIX. — 2-е изд. — БХВПетербург, 2010. — 656 с. — ISBN 978-5-94157-538-1. 14. Столяров А. Программирование на языке ассемблера NASM для ОС Unix. — 2-е изд. — М. : МАКС Пресс, 2011. — URL: http://www.stolyarov.info/books/asm_unix. 15. Таненбаум Э. Архитектура компьютера. — 6-е изд. — СПб. : Питер, 2013. — 874 с. — (Классика Computer Science). 16. Таненбаум Э., Бос Х. Современные операционные системы. — 4-е изд. — СПб. : Питер, 2015. — 1120 с. — (Классика Computer Science).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ru-R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xample.com/" TargetMode="External"/><Relationship Id="rId10" Type="http://schemas.openxmlformats.org/officeDocument/2006/relationships/hyperlink" Target="http://file-name.md" TargetMode="External"/><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biblatexoptions</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header-includes</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mathfontoptions</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polyglossia-lang</vt:lpwstr>
  </property>
  <property fmtid="{D5CDD505-2E9C-101B-9397-08002B2CF9AE}" pid="29" name="polyglossia-otherlangs">
    <vt:lpwstr>polyglossia-otherlangs</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Простейший вариант</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