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6017" w14:textId="0B5A8F45" w:rsidR="00230310" w:rsidRDefault="00FE796F" w:rsidP="00E91858">
      <w:pPr>
        <w:pStyle w:val="a4"/>
      </w:pPr>
      <w:r w:rsidRPr="00FE796F">
        <w:t xml:space="preserve">5.1 </w:t>
      </w:r>
      <w:r w:rsidR="00E91858">
        <w:t>Анализ вредных и опасных факторов на стадиях жизненного цикла изделия</w:t>
      </w:r>
    </w:p>
    <w:p w14:paraId="186E6EE0" w14:textId="77777777" w:rsidR="00303034" w:rsidRDefault="00E91858" w:rsidP="00E91858">
      <w:pPr>
        <w:pStyle w:val="a3"/>
      </w:pPr>
      <w:r>
        <w:tab/>
      </w:r>
      <w:r w:rsidRPr="00FC305F">
        <w:t>При создании</w:t>
      </w:r>
      <w:r w:rsidR="003C4CD6" w:rsidRPr="00FC305F">
        <w:t xml:space="preserve"> ракетной</w:t>
      </w:r>
      <w:r w:rsidRPr="00FC305F">
        <w:t xml:space="preserve"> военной техники эффективность выполнения </w:t>
      </w:r>
      <w:r w:rsidR="003C4CD6" w:rsidRPr="00FC305F">
        <w:t>задач ставится выше, чем соответствие экологическим нормам.</w:t>
      </w:r>
      <w:r w:rsidR="00303034">
        <w:t xml:space="preserve"> </w:t>
      </w:r>
      <w:r w:rsidR="003C4CD6">
        <w:t>Поэтому работа с изделием</w:t>
      </w:r>
      <w:r w:rsidR="00303034">
        <w:t xml:space="preserve"> ракетной военной техники</w:t>
      </w:r>
      <w:r w:rsidR="003C4CD6">
        <w:t xml:space="preserve"> на любой стадии жизненного цикла является потенциально опасной и вредной как для окружающей среды, так и для персонала.</w:t>
      </w:r>
    </w:p>
    <w:p w14:paraId="5FA04C88" w14:textId="77777777" w:rsidR="00303034" w:rsidRDefault="00303034" w:rsidP="00303034">
      <w:pPr>
        <w:pStyle w:val="a7"/>
      </w:pPr>
      <w:r>
        <w:t>Существует</w:t>
      </w:r>
      <w:r w:rsidRPr="000128C7">
        <w:t xml:space="preserve"> ряд законов, регулирующих отношения </w:t>
      </w:r>
      <w:r>
        <w:t>и взаимодействие</w:t>
      </w:r>
      <w:r w:rsidRPr="000128C7">
        <w:t xml:space="preserve"> общества и природы, возникающие при осуществлении хозяйственной и иной деятельности, связан</w:t>
      </w:r>
      <w:r>
        <w:t xml:space="preserve">ной с воздействием на природную среду. </w:t>
      </w:r>
      <w:r w:rsidRPr="000128C7">
        <w:t xml:space="preserve">Среди этих законов следует отметить Федеральный Закон «Об экологической экспертизе», регулирующий отношения в области экологической экспертизы, направленный на </w:t>
      </w:r>
      <w:r>
        <w:t>сохранение благоприятной</w:t>
      </w:r>
      <w:r w:rsidRPr="000128C7">
        <w:t xml:space="preserve"> </w:t>
      </w:r>
      <w:r>
        <w:t>окружающей среды</w:t>
      </w:r>
      <w:r w:rsidRPr="000128C7">
        <w:t xml:space="preserve"> посредством </w:t>
      </w:r>
      <w:r>
        <w:t>предупреждения негативных воздействий хозяйственной и иной деятельности.</w:t>
      </w:r>
    </w:p>
    <w:p w14:paraId="23A4F059" w14:textId="2650A1B6" w:rsidR="00303034" w:rsidRDefault="00303034" w:rsidP="00303034">
      <w:pPr>
        <w:pStyle w:val="a7"/>
      </w:pPr>
      <w:r>
        <w:t>Экологическая экспертиза – установление соответствия намечаемой хозяйственной и иной деятельности экологическим требованиям и определение допустимости реализации объекта экологической экспертизы в целях предупреждения возможных неблагоприятных воздействий этой деятельности на окружающую природную среду и связанных с ними социальных, экономических и иных последствий реализации объекта экологической экспертизы.</w:t>
      </w:r>
    </w:p>
    <w:p w14:paraId="3827729D" w14:textId="5EAC0A7A" w:rsidR="003C4CD6" w:rsidRDefault="003C4CD6" w:rsidP="00E91858">
      <w:pPr>
        <w:pStyle w:val="a3"/>
      </w:pPr>
      <w:r>
        <w:tab/>
        <w:t>Так на стадии НИР опасные факторы возникают при изучении физических явлений, обосновывающих целесообразность разработки нового изделия. Такими исследованиями может являться разработка и тестирования образцов нового состава ТРТ, проведение испытаний теплозащитных материалов, испытание материалов корпуса. К опасными факторам на этой стадии можно отнести:</w:t>
      </w:r>
    </w:p>
    <w:p w14:paraId="65767312" w14:textId="77777777" w:rsidR="003C4CD6" w:rsidRDefault="003C4CD6" w:rsidP="003C4CD6">
      <w:pPr>
        <w:pStyle w:val="a3"/>
        <w:ind w:left="708"/>
      </w:pPr>
      <w:r>
        <w:lastRenderedPageBreak/>
        <w:sym w:font="Symbol" w:char="F02D"/>
      </w:r>
      <w:r>
        <w:t xml:space="preserve"> Выбросы вредных веществ в атмосферный воздух при горении ТТ и при термическом разложении ТЗМ [ГОСТ 12.1.005-88, ГН 2.2.5.3532-18]; </w:t>
      </w:r>
    </w:p>
    <w:p w14:paraId="2B7B7EDD" w14:textId="77777777" w:rsidR="003C4CD6" w:rsidRDefault="003C4CD6" w:rsidP="003C4CD6">
      <w:pPr>
        <w:pStyle w:val="a3"/>
        <w:ind w:left="708"/>
      </w:pPr>
      <w:r>
        <w:sym w:font="Symbol" w:char="F02D"/>
      </w:r>
      <w:r>
        <w:t xml:space="preserve"> Работа с взрывчатыми веществами [ФНП в области промышленной безопасности №494]; </w:t>
      </w:r>
    </w:p>
    <w:p w14:paraId="091AC48A" w14:textId="0C2967B0" w:rsidR="003C4CD6" w:rsidRPr="00E91858" w:rsidRDefault="003C4CD6" w:rsidP="003C4CD6">
      <w:pPr>
        <w:pStyle w:val="a3"/>
        <w:ind w:left="708"/>
      </w:pPr>
      <w:r>
        <w:sym w:font="Symbol" w:char="F02D"/>
      </w:r>
      <w:r>
        <w:t xml:space="preserve"> Наличие открытого пламени при испытании ТЗМ на </w:t>
      </w:r>
      <w:proofErr w:type="spellStart"/>
      <w:r>
        <w:t>термопрочность</w:t>
      </w:r>
      <w:proofErr w:type="spellEnd"/>
      <w:r>
        <w:t xml:space="preserve"> [ГОСТ Р 12.3.047-2012 ССБТ].</w:t>
      </w:r>
    </w:p>
    <w:p w14:paraId="2E67D13A" w14:textId="5634A32B" w:rsidR="00E70D7B" w:rsidRDefault="00806A07" w:rsidP="00E91858">
      <w:pPr>
        <w:pStyle w:val="a3"/>
      </w:pPr>
      <w:r>
        <w:t>На следующей стадии жизненного цикла изделия</w:t>
      </w:r>
      <w:r w:rsidR="001F58AD">
        <w:t xml:space="preserve"> </w:t>
      </w:r>
      <w:r>
        <w:t xml:space="preserve">ОКР проводятся автономные испытания, включающие в себя отработку </w:t>
      </w:r>
      <w:proofErr w:type="spellStart"/>
      <w:r>
        <w:t>воспламенительного</w:t>
      </w:r>
      <w:proofErr w:type="spellEnd"/>
      <w:r>
        <w:t xml:space="preserve"> устройства, огневые стендовые испытания. Применительно к этим испытаниям можно перечислить следующие опасные факторы: </w:t>
      </w:r>
    </w:p>
    <w:p w14:paraId="260A5171" w14:textId="77777777" w:rsidR="00E70D7B" w:rsidRDefault="00806A07" w:rsidP="00E70D7B">
      <w:pPr>
        <w:pStyle w:val="a3"/>
        <w:ind w:left="708"/>
      </w:pPr>
      <w:r>
        <w:sym w:font="Symbol" w:char="F02D"/>
      </w:r>
      <w:r>
        <w:t xml:space="preserve"> Работа с взрывчатыми веществами [ФНП в области промышленной безопасности №494]; </w:t>
      </w:r>
    </w:p>
    <w:p w14:paraId="49CB5231" w14:textId="77777777" w:rsidR="00E70D7B" w:rsidRDefault="00806A07" w:rsidP="00E70D7B">
      <w:pPr>
        <w:pStyle w:val="a3"/>
        <w:ind w:left="708"/>
      </w:pPr>
      <w:r>
        <w:sym w:font="Symbol" w:char="F02D"/>
      </w:r>
      <w:r>
        <w:t xml:space="preserve"> Шумовое воздействие при работе двигателя [СН 2.2.4/2.1.8.562- 96]; </w:t>
      </w:r>
    </w:p>
    <w:p w14:paraId="0A73297B" w14:textId="181D0289" w:rsidR="00E91858" w:rsidRDefault="00806A07" w:rsidP="00E70D7B">
      <w:pPr>
        <w:pStyle w:val="a3"/>
        <w:ind w:left="708"/>
      </w:pPr>
      <w:r>
        <w:sym w:font="Symbol" w:char="F02D"/>
      </w:r>
      <w:r>
        <w:t xml:space="preserve"> Наличие открытого пламени при работе двигателя [ГОСТ Р 12.3.047-2012 ССБТ].</w:t>
      </w:r>
    </w:p>
    <w:p w14:paraId="3AEF1875" w14:textId="0EA154C9" w:rsidR="00E70D7B" w:rsidRDefault="00E70D7B" w:rsidP="00E70D7B">
      <w:pPr>
        <w:pStyle w:val="a3"/>
        <w:ind w:firstLine="708"/>
      </w:pPr>
      <w:r>
        <w:t xml:space="preserve">В процессе производства РДТТ большинство опасных факторов связанно с технологическими процессами при производстве твердого топлива, так как при создании твердого топлива, приходится иметь дело с большим количеством химически активных компонентов, что влечет за собой большое количество мероприятий по обеспечению безопасной работе персонала. </w:t>
      </w:r>
    </w:p>
    <w:p w14:paraId="37914A3B" w14:textId="77777777" w:rsidR="00E70D7B" w:rsidRDefault="00E70D7B" w:rsidP="00E70D7B">
      <w:pPr>
        <w:pStyle w:val="a3"/>
        <w:ind w:left="708"/>
      </w:pPr>
      <w:r>
        <w:t xml:space="preserve">- Выбросы вредных веществ в атмосферный воздух, являющиеся производными веществами [ГОСТ 12.1.005-88, ГОСТ Р 58577- 2019, ГН 2.2.5.3532- 18, ГН 2.1.6.3492-17]; </w:t>
      </w:r>
    </w:p>
    <w:p w14:paraId="585CCDE9" w14:textId="77777777" w:rsidR="00E70D7B" w:rsidRDefault="00E70D7B" w:rsidP="00E70D7B">
      <w:pPr>
        <w:pStyle w:val="a3"/>
        <w:ind w:left="708"/>
      </w:pPr>
      <w:r>
        <w:sym w:font="Symbol" w:char="F02D"/>
      </w:r>
      <w:r>
        <w:t xml:space="preserve"> Работа с химически активными веществами [ПОТ Р М-004-97]; </w:t>
      </w:r>
    </w:p>
    <w:p w14:paraId="5E3E4B8E" w14:textId="7B543816" w:rsidR="00E70D7B" w:rsidRDefault="00E70D7B" w:rsidP="00E70D7B">
      <w:pPr>
        <w:pStyle w:val="a3"/>
        <w:ind w:left="708"/>
      </w:pPr>
      <w:r>
        <w:lastRenderedPageBreak/>
        <w:sym w:font="Symbol" w:char="F02D"/>
      </w:r>
      <w:r>
        <w:t xml:space="preserve"> Работа с взрывчатыми веществами [ФНП в области промышленной безопасности №494].</w:t>
      </w:r>
    </w:p>
    <w:p w14:paraId="1E9E802B" w14:textId="334200FF" w:rsidR="00E70D7B" w:rsidRDefault="00E70D7B" w:rsidP="00E70D7B">
      <w:pPr>
        <w:pStyle w:val="a3"/>
      </w:pPr>
      <w:r>
        <w:tab/>
        <w:t xml:space="preserve">Наиболее опасная с точки зрения воздействия как на окружающую среду, так и на персонал является стадия эксплуатации изделия. При запуске РДТТ, выбрасывается в окружающую среду в качестве продуктов сгорание большое количество парниковых, </w:t>
      </w:r>
      <w:proofErr w:type="spellStart"/>
      <w:r>
        <w:t>озоноразрушающих</w:t>
      </w:r>
      <w:proofErr w:type="spellEnd"/>
      <w:r>
        <w:t xml:space="preserve"> и токсических соединений</w:t>
      </w:r>
      <w:r w:rsidR="00F004BC">
        <w:t>. Их соотношение сильно зависит от рецептуры заряда твердого топлива, но как правило продукты сгорания РДТТ гораздо опаснее чем продукты сгорания ЖРД. Эксплуатация тактических ракет происходит в таких условиях, что минимизировать ущерб от продуктов сгорания невозможно.</w:t>
      </w:r>
    </w:p>
    <w:p w14:paraId="062D113B" w14:textId="31A13159" w:rsidR="00F004BC" w:rsidRDefault="00F004BC" w:rsidP="00E70D7B">
      <w:pPr>
        <w:pStyle w:val="a3"/>
      </w:pPr>
      <w:r>
        <w:tab/>
        <w:t>Помимо воздействия продуктов сгорания на окружающую среду, имеется целый ряд опасных факторов для жизни и здоровья персонала осуществляющего эксплуатацию изделия. Так как запуск изделия осуществляется с самоходной пусковой установки, экипаж находится внутри кабины во время пуска, необходимо обеспечить внутри кабины защиту от ударной волны ПС, термического воздействия потока ПС, акустического воздействия РДТТ, опасных ПС находящихся в воздухе в зоне пуска, вибрационного воздействия.</w:t>
      </w:r>
    </w:p>
    <w:p w14:paraId="45277F6B" w14:textId="77777777" w:rsidR="00B10E06" w:rsidRDefault="00B10E06" w:rsidP="00B10E06">
      <w:pPr>
        <w:pStyle w:val="a3"/>
        <w:ind w:firstLine="708"/>
      </w:pPr>
      <w:r>
        <w:t xml:space="preserve">Утилизация РДТТ сопряжена с большим количеством негативных факторов, связанных с необходимостью сжигания твёрдого топлива, разложения корпуса РДТТ и ТЗП, выполненных из различных полимерных материалов: </w:t>
      </w:r>
    </w:p>
    <w:p w14:paraId="72C176C1" w14:textId="77777777" w:rsidR="00B10E06" w:rsidRDefault="00B10E06" w:rsidP="00B10E06">
      <w:pPr>
        <w:pStyle w:val="a3"/>
        <w:ind w:left="708"/>
      </w:pPr>
      <w:r>
        <w:sym w:font="Symbol" w:char="F02D"/>
      </w:r>
      <w:r>
        <w:t xml:space="preserve"> Выбросы вредных веществ в атмосферный воздух, содержащиеся в продуктах дожигания [ГОСТ 12.1.005-88, ГОСТ Р 58577-2019, ГН 2.2.5.3532-18, ГН 2.1.6.3492-17]; </w:t>
      </w:r>
    </w:p>
    <w:p w14:paraId="2803B255" w14:textId="77777777" w:rsidR="00B10E06" w:rsidRDefault="00B10E06" w:rsidP="00B10E06">
      <w:pPr>
        <w:pStyle w:val="a3"/>
        <w:ind w:left="708"/>
      </w:pPr>
      <w:r>
        <w:sym w:font="Symbol" w:char="F02D"/>
      </w:r>
      <w:r>
        <w:t xml:space="preserve"> Работа с взрывчатыми веществами [ФНП в области промышленной безопасности №494]; </w:t>
      </w:r>
    </w:p>
    <w:p w14:paraId="31792D7F" w14:textId="77777777" w:rsidR="00B10E06" w:rsidRDefault="00B10E06" w:rsidP="00B10E06">
      <w:pPr>
        <w:pStyle w:val="a3"/>
        <w:ind w:left="708"/>
      </w:pPr>
      <w:r>
        <w:sym w:font="Symbol" w:char="F02D"/>
      </w:r>
      <w:r>
        <w:t xml:space="preserve"> Наличие открытого пламени [ГОСТ Р 12.3.047-2012 ССБТ]; </w:t>
      </w:r>
    </w:p>
    <w:p w14:paraId="20BF5801" w14:textId="12E8F8E8" w:rsidR="00F7184F" w:rsidRDefault="00B10E06" w:rsidP="001F58AD">
      <w:pPr>
        <w:pStyle w:val="a3"/>
        <w:ind w:left="708"/>
      </w:pPr>
      <w:r>
        <w:lastRenderedPageBreak/>
        <w:sym w:font="Symbol" w:char="F02D"/>
      </w:r>
      <w:r>
        <w:t xml:space="preserve"> Работа с химически активными веществами [ПОТ Р М-004-97].</w:t>
      </w:r>
    </w:p>
    <w:p w14:paraId="0EA196CE" w14:textId="77777777" w:rsidR="001F58AD" w:rsidRDefault="001F58AD" w:rsidP="001F58AD">
      <w:pPr>
        <w:pStyle w:val="a3"/>
        <w:ind w:left="708"/>
      </w:pPr>
    </w:p>
    <w:p w14:paraId="7D750668" w14:textId="7BF53EDC" w:rsidR="00F7184F" w:rsidRDefault="0037695A" w:rsidP="00F7184F">
      <w:pPr>
        <w:pStyle w:val="a4"/>
      </w:pPr>
      <w:r w:rsidRPr="001F58AD">
        <w:t xml:space="preserve">5.2. </w:t>
      </w:r>
      <w:r w:rsidR="00F7184F">
        <w:t>Охрана труда. Звукоизоляция для персонала, занятого в проведении пуска.</w:t>
      </w:r>
    </w:p>
    <w:p w14:paraId="5F73395E" w14:textId="0C60157B" w:rsidR="006159ED" w:rsidRDefault="00AE64D0" w:rsidP="00F7184F">
      <w:pPr>
        <w:pStyle w:val="a3"/>
      </w:pPr>
      <w:r>
        <w:tab/>
      </w:r>
      <w:r w:rsidR="006159ED">
        <w:t xml:space="preserve">При работе РДТТ истекающая струя продуктов сгорания создает интенсивный шум, опасный для здоровья человека. Поэтому при запуске РДТТ требуется предусмотреть мероприятия по защите органов слуха. Запуск РДТТ </w:t>
      </w:r>
      <w:r w:rsidR="001F58AD">
        <w:t>проводится</w:t>
      </w:r>
      <w:r w:rsidR="006159ED">
        <w:t xml:space="preserve"> на стадии испытаний и на стадии эксплуатации. Целью этого расчета является определение необходимости использования средств индивидуальной защиты органов слуха</w:t>
      </w:r>
      <w:r w:rsidR="001F58AD">
        <w:t xml:space="preserve"> при испытании и эксплуатации изделия</w:t>
      </w:r>
      <w:r w:rsidR="006159ED">
        <w:t>. В ходе расчета рассматривается два случая:</w:t>
      </w:r>
    </w:p>
    <w:p w14:paraId="5DDF69F6" w14:textId="64937E1F" w:rsidR="006159ED" w:rsidRDefault="006159ED" w:rsidP="006159ED">
      <w:pPr>
        <w:pStyle w:val="a3"/>
        <w:numPr>
          <w:ilvl w:val="0"/>
          <w:numId w:val="12"/>
        </w:numPr>
      </w:pPr>
      <w:r>
        <w:t>Запуск РДТТ проходит на испытательном полигоне. Персонал находится в наблюдательной кабине из бетонных блоков на удалении в 200 м от места запуска.</w:t>
      </w:r>
    </w:p>
    <w:p w14:paraId="16354F7C" w14:textId="73F0124D" w:rsidR="00F7184F" w:rsidRDefault="006159ED" w:rsidP="006159ED">
      <w:pPr>
        <w:pStyle w:val="a3"/>
        <w:numPr>
          <w:ilvl w:val="0"/>
          <w:numId w:val="12"/>
        </w:numPr>
      </w:pPr>
      <w:r>
        <w:t xml:space="preserve"> Запуск происходит с самоходной пусковой установки. Экипаж находится внутри кабины самоходной установки</w:t>
      </w:r>
    </w:p>
    <w:p w14:paraId="2D791301" w14:textId="2595837F" w:rsidR="00E3766F" w:rsidRDefault="00E3766F" w:rsidP="00F7184F">
      <w:pPr>
        <w:pStyle w:val="a3"/>
      </w:pPr>
      <w:r>
        <w:tab/>
        <w:t>Для расчета звуковой мощности струи нужно задаться величинами, полученными в ходе расчета конструкции двигателя:</w:t>
      </w:r>
    </w:p>
    <w:p w14:paraId="73E25442" w14:textId="018195E4" w:rsidR="00E3766F" w:rsidRDefault="00E3766F" w:rsidP="0037695A">
      <w:pPr>
        <w:pStyle w:val="a3"/>
        <w:numPr>
          <w:ilvl w:val="0"/>
          <w:numId w:val="11"/>
        </w:numPr>
      </w:pPr>
      <w:r>
        <w:t>Скорость истечения струи из сопла</w:t>
      </w:r>
    </w:p>
    <w:p w14:paraId="635FF629" w14:textId="6A236A73" w:rsidR="00E3766F" w:rsidRDefault="00E3766F" w:rsidP="0037695A">
      <w:pPr>
        <w:pStyle w:val="a3"/>
        <w:numPr>
          <w:ilvl w:val="0"/>
          <w:numId w:val="11"/>
        </w:numPr>
      </w:pPr>
      <w:r>
        <w:t>Диаметр сопла на срезе</w:t>
      </w:r>
    </w:p>
    <w:p w14:paraId="6BB7BFED" w14:textId="713CDE18" w:rsidR="00E3766F" w:rsidRDefault="00E3766F" w:rsidP="0037695A">
      <w:pPr>
        <w:pStyle w:val="a3"/>
        <w:numPr>
          <w:ilvl w:val="0"/>
          <w:numId w:val="11"/>
        </w:numPr>
      </w:pPr>
      <w:r>
        <w:t>Общий уровень звуковой мощности струи</w:t>
      </w:r>
    </w:p>
    <w:p w14:paraId="77D50591" w14:textId="13772E77" w:rsidR="00E73C40" w:rsidRDefault="00E73C40" w:rsidP="00E73C40">
      <w:pPr>
        <w:pStyle w:val="a7"/>
      </w:pPr>
      <w:r>
        <w:t xml:space="preserve">Общий уровень звуковой мощности выхлопной струи двигателя следует определять по формуле </w:t>
      </w:r>
      <w:r>
        <w:fldChar w:fldCharType="begin" w:fldLock="1"/>
      </w:r>
      <w:r>
        <w:instrText>ADDIN CSL_CITATION {"citationItems":[{"id":"ITEM-1","itemData":{"author":[{"dropping-particle":"","family":"Иванов","given":"Николай Игоревич","non-dropping-particle":"","parse-names":false,"suffix":""}],"id":"ITEM-1","issued":{"date-parts":[["2016"]]},"number-of-pages":"424","publisher":"Логос","publisher-place":"Москва","title":"Инженерная акустика. Теория и практика борьбы с шумом","type":"book"},"uris":["http://www.mendeley.com/documents/?uuid=972fd0d5-1f21-48c7-be40-85e5fc01b58b"]}],"mendeley":{"formattedCitation":"[9]","plainTextFormattedCitation":"[9]","previouslyFormattedCitation":"[8]"},"properties":{"noteIndex":0},"schema":"https://github.com/citation-style-language/schema/raw/master/csl-citation.json"}</w:instrText>
      </w:r>
      <w:r>
        <w:fldChar w:fldCharType="separate"/>
      </w:r>
      <w:r>
        <w:rPr>
          <w:noProof/>
        </w:rPr>
        <w:t>[1</w:t>
      </w:r>
      <w:r w:rsidRPr="007D58E1">
        <w:rPr>
          <w:noProof/>
        </w:rPr>
        <w:t>]</w:t>
      </w:r>
      <w:r>
        <w:fldChar w:fldCharType="end"/>
      </w:r>
      <w:r>
        <w:t>:</w:t>
      </w:r>
    </w:p>
    <w:p w14:paraId="648FE637" w14:textId="482C06DE" w:rsidR="00E73C40" w:rsidRPr="00E73C40" w:rsidRDefault="00B74ED5" w:rsidP="00E73C40">
      <w:pPr>
        <w:pStyle w:val="a7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</w:rPr>
            <m:t>=80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·lg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+10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·lg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+20·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func>
            </m:e>
          </m:func>
          <m:r>
            <w:rPr>
              <w:rFonts w:ascii="Cambria Math" w:hAnsi="Cambria Math"/>
              <w:lang w:val="en-US"/>
            </w:rPr>
            <m:t>==80·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2771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+10·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0,46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+20·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0,047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-44</m:t>
          </m:r>
          <m:r>
            <w:rPr>
              <w:rFonts w:ascii="Cambria Math" w:eastAsiaTheme="minorEastAsia" w:hAnsi="Cambria Math"/>
              <w:lang w:val="en-US"/>
            </w:rPr>
            <m:t xml:space="preserve">==161 </m:t>
          </m:r>
          <m:r>
            <w:rPr>
              <w:rFonts w:ascii="Cambria Math" w:eastAsiaTheme="minorEastAsia" w:hAnsi="Cambria Math"/>
            </w:rPr>
            <m:t>дБ,</m:t>
          </m:r>
        </m:oMath>
      </m:oMathPara>
    </w:p>
    <w:p w14:paraId="47212A3E" w14:textId="77777777" w:rsidR="00E73C40" w:rsidRDefault="00E73C40" w:rsidP="00E73C40">
      <w:pPr>
        <w:pStyle w:val="a3"/>
      </w:pPr>
    </w:p>
    <w:p w14:paraId="062E102C" w14:textId="717263BE" w:rsidR="00E3766F" w:rsidRDefault="00255363" w:rsidP="00F7184F">
      <w:pPr>
        <w:pStyle w:val="a3"/>
      </w:pPr>
      <w:r>
        <w:tab/>
        <w:t>По формуле определим октавные уровни звуковой мощности</w:t>
      </w:r>
      <w:r w:rsidR="00AC2DB7">
        <w:t xml:space="preserve"> </w:t>
      </w:r>
      <w:r w:rsidR="001B3D8D" w:rsidRPr="001B3D8D">
        <w:t>[1]</w:t>
      </w:r>
      <w:r>
        <w:t xml:space="preserve"> </w:t>
      </w:r>
    </w:p>
    <w:p w14:paraId="654D536B" w14:textId="2E834F7C" w:rsidR="00255363" w:rsidRPr="00255363" w:rsidRDefault="00B74ED5" w:rsidP="00F7184F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ист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-∆</m:t>
          </m:r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14:paraId="7507CE60" w14:textId="71835CEB" w:rsidR="00BD7FB6" w:rsidRPr="00BD7FB6" w:rsidRDefault="00BD7FB6" w:rsidP="007F0854">
      <w:pPr>
        <w:pStyle w:val="a3"/>
        <w:ind w:firstLine="708"/>
        <w:rPr>
          <w:rFonts w:eastAsiaTheme="minorEastAsia"/>
        </w:rPr>
      </w:pPr>
      <w:r w:rsidRPr="00BD7FB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BD7FB6">
        <w:rPr>
          <w:rFonts w:eastAsiaTheme="minorEastAsia"/>
        </w:rPr>
        <w:t xml:space="preserve"> – разность общего и октавного уровней звуковой мощности</w:t>
      </w:r>
    </w:p>
    <w:p w14:paraId="2154395B" w14:textId="4BD64069" w:rsidR="00BD7FB6" w:rsidRDefault="00BD7FB6" w:rsidP="007F0854">
      <w:pPr>
        <w:pStyle w:val="a3"/>
        <w:rPr>
          <w:rFonts w:eastAsiaTheme="minorEastAsia"/>
        </w:rPr>
      </w:pPr>
      <w:r w:rsidRPr="00BD7FB6">
        <w:rPr>
          <w:rFonts w:eastAsiaTheme="minorEastAsia"/>
        </w:rPr>
        <w:t>шума, которая оп</w:t>
      </w:r>
      <w:r>
        <w:rPr>
          <w:rFonts w:eastAsiaTheme="minorEastAsia"/>
        </w:rPr>
        <w:t xml:space="preserve">ределяется </w:t>
      </w:r>
      <w:r w:rsidR="007F0854">
        <w:rPr>
          <w:rFonts w:eastAsiaTheme="minorEastAsia"/>
        </w:rPr>
        <w:t>с помощью числа Струхаля. График распределения разности общего и октавного уровней приведена на рисунке 5.2.1.</w:t>
      </w:r>
    </w:p>
    <w:p w14:paraId="7E8D01AA" w14:textId="3829F33F" w:rsidR="00255363" w:rsidRDefault="00BD7FB6" w:rsidP="00BD7FB6">
      <w:pPr>
        <w:pStyle w:val="a3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0B95DE67" wp14:editId="2ECEA3DB">
            <wp:extent cx="5377338" cy="2866030"/>
            <wp:effectExtent l="0" t="0" r="0" b="0"/>
            <wp:docPr id="1" name="Рисунок 1" descr="C:\Users\kbs\Desktop\STR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bs\Desktop\STRUL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449" cy="28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9ED">
        <w:rPr>
          <w:rFonts w:eastAsiaTheme="minorEastAsia"/>
        </w:rPr>
        <w:t xml:space="preserve"> </w:t>
      </w:r>
    </w:p>
    <w:p w14:paraId="30BCB1D8" w14:textId="5168AFB7" w:rsidR="00BD7FB6" w:rsidRDefault="00BD7FB6" w:rsidP="00BD7FB6">
      <w:pPr>
        <w:pStyle w:val="a3"/>
        <w:jc w:val="center"/>
        <w:rPr>
          <w:rFonts w:eastAsiaTheme="minorEastAsia"/>
        </w:rPr>
      </w:pPr>
      <w:r>
        <w:rPr>
          <w:rFonts w:eastAsiaTheme="minorEastAsia"/>
        </w:rPr>
        <w:t>Рисунок</w:t>
      </w:r>
      <w:r w:rsidR="006159ED">
        <w:rPr>
          <w:rFonts w:eastAsiaTheme="minorEastAsia"/>
        </w:rPr>
        <w:t xml:space="preserve"> 5.2.1 -</w:t>
      </w:r>
      <w:r>
        <w:rPr>
          <w:rFonts w:eastAsiaTheme="minorEastAsia"/>
        </w:rPr>
        <w:t xml:space="preserve"> Зависимость относительного спектра звуковой мощности струи от числа Струхаля</w:t>
      </w:r>
    </w:p>
    <w:p w14:paraId="6C7A7A66" w14:textId="30D2EB3E" w:rsidR="00BD7FB6" w:rsidRDefault="00BD7FB6" w:rsidP="00BD7FB6">
      <w:pPr>
        <w:pStyle w:val="a3"/>
        <w:ind w:firstLine="708"/>
      </w:pPr>
      <w:r>
        <w:t>Значение числа Струхаля определяется соотношением:</w:t>
      </w:r>
    </w:p>
    <w:p w14:paraId="26977F18" w14:textId="5C48776C" w:rsidR="00BD7FB6" w:rsidRPr="007F0854" w:rsidRDefault="00BD7FB6" w:rsidP="00BD7FB6">
      <w:pPr>
        <w:pStyle w:val="a3"/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631A566E" w14:textId="77777777" w:rsidR="007F0854" w:rsidRPr="00BD7FB6" w:rsidRDefault="007F0854" w:rsidP="00BD7FB6">
      <w:pPr>
        <w:pStyle w:val="a3"/>
        <w:ind w:firstLine="708"/>
        <w:rPr>
          <w:rFonts w:eastAsiaTheme="minorEastAsia"/>
        </w:rPr>
      </w:pPr>
    </w:p>
    <w:p w14:paraId="2F021B3F" w14:textId="540B9B0F" w:rsidR="00BD7FB6" w:rsidRDefault="00BD7FB6" w:rsidP="00BD7FB6">
      <w:pPr>
        <w:pStyle w:val="a3"/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Далее в таблице</w:t>
      </w:r>
      <w:r w:rsidR="007F0854">
        <w:rPr>
          <w:rFonts w:eastAsiaTheme="minorEastAsia"/>
        </w:rPr>
        <w:t xml:space="preserve"> 5.2.1</w:t>
      </w:r>
      <w:r>
        <w:rPr>
          <w:rFonts w:eastAsiaTheme="minorEastAsia"/>
        </w:rPr>
        <w:t xml:space="preserve"> приведены значения числа Струхаля и разности общего и октавного уровней </w:t>
      </w:r>
      <w:r w:rsidRPr="00FC305F">
        <w:rPr>
          <w:rFonts w:eastAsiaTheme="minorEastAsia"/>
        </w:rPr>
        <w:t>звуковой мощности для основных частот</w:t>
      </w:r>
    </w:p>
    <w:p w14:paraId="4DC39339" w14:textId="37DE749A" w:rsidR="0006402E" w:rsidRPr="00804991" w:rsidRDefault="0006402E" w:rsidP="00BD7FB6">
      <w:pPr>
        <w:pStyle w:val="a3"/>
        <w:ind w:firstLine="708"/>
        <w:rPr>
          <w:rFonts w:eastAsiaTheme="minorEastAsia"/>
        </w:rPr>
      </w:pPr>
      <w:r>
        <w:rPr>
          <w:rFonts w:eastAsiaTheme="minorEastAsia"/>
        </w:rPr>
        <w:t>Таблица</w:t>
      </w:r>
      <w:r w:rsidR="00804991">
        <w:rPr>
          <w:rFonts w:eastAsiaTheme="minorEastAsia"/>
        </w:rPr>
        <w:t xml:space="preserve"> 5</w:t>
      </w:r>
      <w:r w:rsidR="00804991" w:rsidRPr="00804991">
        <w:rPr>
          <w:rFonts w:eastAsiaTheme="minorEastAsia"/>
        </w:rPr>
        <w:t xml:space="preserve">.2.1 - </w:t>
      </w:r>
      <w:r w:rsidR="00804991">
        <w:rPr>
          <w:noProof/>
        </w:rPr>
        <w:t>Зависимость разности уровня звуковой мощности от числа Струхаля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0"/>
        <w:gridCol w:w="1036"/>
        <w:gridCol w:w="1036"/>
        <w:gridCol w:w="1035"/>
        <w:gridCol w:w="1035"/>
        <w:gridCol w:w="1035"/>
        <w:gridCol w:w="1036"/>
        <w:gridCol w:w="1036"/>
        <w:gridCol w:w="1036"/>
      </w:tblGrid>
      <w:tr w:rsidR="00BD7FB6" w14:paraId="04358602" w14:textId="77777777" w:rsidTr="00804991">
        <w:tc>
          <w:tcPr>
            <w:tcW w:w="1060" w:type="dxa"/>
          </w:tcPr>
          <w:p w14:paraId="5A89B68D" w14:textId="5D58F2DD" w:rsidR="00BD7FB6" w:rsidRDefault="00B74ED5" w:rsidP="00BD7FB6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 Гц</m:t>
                </m:r>
              </m:oMath>
            </m:oMathPara>
          </w:p>
        </w:tc>
        <w:tc>
          <w:tcPr>
            <w:tcW w:w="1036" w:type="dxa"/>
          </w:tcPr>
          <w:p w14:paraId="702D1FA7" w14:textId="37F4C57D" w:rsidR="00BD7FB6" w:rsidRDefault="00BD7FB6" w:rsidP="00BD7FB6">
            <w:pPr>
              <w:pStyle w:val="a3"/>
            </w:pPr>
            <w:r>
              <w:t>63</w:t>
            </w:r>
          </w:p>
        </w:tc>
        <w:tc>
          <w:tcPr>
            <w:tcW w:w="1036" w:type="dxa"/>
          </w:tcPr>
          <w:p w14:paraId="0E24411B" w14:textId="3EDC66A9" w:rsidR="00BD7FB6" w:rsidRDefault="00BD7FB6" w:rsidP="00BD7FB6">
            <w:pPr>
              <w:pStyle w:val="a3"/>
            </w:pPr>
            <w:r>
              <w:t>125</w:t>
            </w:r>
          </w:p>
        </w:tc>
        <w:tc>
          <w:tcPr>
            <w:tcW w:w="1035" w:type="dxa"/>
          </w:tcPr>
          <w:p w14:paraId="1FE270F8" w14:textId="22D86DAA" w:rsidR="00BD7FB6" w:rsidRDefault="00BD7FB6" w:rsidP="00BD7FB6">
            <w:pPr>
              <w:pStyle w:val="a3"/>
            </w:pPr>
            <w:r>
              <w:t>250</w:t>
            </w:r>
          </w:p>
        </w:tc>
        <w:tc>
          <w:tcPr>
            <w:tcW w:w="1035" w:type="dxa"/>
          </w:tcPr>
          <w:p w14:paraId="4D148A7F" w14:textId="36A21662" w:rsidR="00BD7FB6" w:rsidRDefault="00BD7FB6" w:rsidP="00BD7FB6">
            <w:pPr>
              <w:pStyle w:val="a3"/>
            </w:pPr>
            <w:r>
              <w:t>500</w:t>
            </w:r>
          </w:p>
        </w:tc>
        <w:tc>
          <w:tcPr>
            <w:tcW w:w="1035" w:type="dxa"/>
          </w:tcPr>
          <w:p w14:paraId="28121104" w14:textId="34EB13FA" w:rsidR="00BD7FB6" w:rsidRDefault="00BD7FB6" w:rsidP="00BD7FB6">
            <w:pPr>
              <w:pStyle w:val="a3"/>
            </w:pPr>
            <w:r>
              <w:t>1000</w:t>
            </w:r>
          </w:p>
        </w:tc>
        <w:tc>
          <w:tcPr>
            <w:tcW w:w="1036" w:type="dxa"/>
          </w:tcPr>
          <w:p w14:paraId="582388FD" w14:textId="75E41DEB" w:rsidR="00BD7FB6" w:rsidRDefault="00BD7FB6" w:rsidP="00BD7FB6">
            <w:pPr>
              <w:pStyle w:val="a3"/>
            </w:pPr>
            <w:r>
              <w:t>2000</w:t>
            </w:r>
          </w:p>
        </w:tc>
        <w:tc>
          <w:tcPr>
            <w:tcW w:w="1036" w:type="dxa"/>
          </w:tcPr>
          <w:p w14:paraId="664B3723" w14:textId="342717C6" w:rsidR="00BD7FB6" w:rsidRDefault="00BD7FB6" w:rsidP="00BD7FB6">
            <w:pPr>
              <w:pStyle w:val="a3"/>
            </w:pPr>
            <w:r>
              <w:t>4000</w:t>
            </w:r>
          </w:p>
        </w:tc>
        <w:tc>
          <w:tcPr>
            <w:tcW w:w="1036" w:type="dxa"/>
          </w:tcPr>
          <w:p w14:paraId="6E8F22C3" w14:textId="7FA24425" w:rsidR="00BD7FB6" w:rsidRDefault="00BD7FB6" w:rsidP="00BD7FB6">
            <w:pPr>
              <w:pStyle w:val="a3"/>
            </w:pPr>
            <w:r>
              <w:t>8000</w:t>
            </w:r>
          </w:p>
        </w:tc>
      </w:tr>
      <w:tr w:rsidR="00BD7FB6" w14:paraId="1BB31893" w14:textId="77777777" w:rsidTr="00804991">
        <w:tc>
          <w:tcPr>
            <w:tcW w:w="1060" w:type="dxa"/>
          </w:tcPr>
          <w:p w14:paraId="1462B540" w14:textId="4B5C9437" w:rsidR="00BD7FB6" w:rsidRDefault="00BD7FB6" w:rsidP="00BD7FB6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Sh, дБ</m:t>
                </m:r>
              </m:oMath>
            </m:oMathPara>
          </w:p>
        </w:tc>
        <w:tc>
          <w:tcPr>
            <w:tcW w:w="1036" w:type="dxa"/>
          </w:tcPr>
          <w:p w14:paraId="29D00668" w14:textId="1DB19D9E" w:rsidR="00BD7FB6" w:rsidRDefault="00BD7FB6" w:rsidP="00BD7FB6">
            <w:pPr>
              <w:pStyle w:val="a3"/>
            </w:pPr>
            <w:r>
              <w:t>0,011</w:t>
            </w:r>
          </w:p>
        </w:tc>
        <w:tc>
          <w:tcPr>
            <w:tcW w:w="1036" w:type="dxa"/>
          </w:tcPr>
          <w:p w14:paraId="2C92996D" w14:textId="0F403D64" w:rsidR="00BD7FB6" w:rsidRDefault="00BD7FB6" w:rsidP="00BD7FB6">
            <w:pPr>
              <w:pStyle w:val="a3"/>
            </w:pPr>
            <w:r>
              <w:t>0,021</w:t>
            </w:r>
          </w:p>
        </w:tc>
        <w:tc>
          <w:tcPr>
            <w:tcW w:w="1035" w:type="dxa"/>
          </w:tcPr>
          <w:p w14:paraId="0F14B5AE" w14:textId="397F76B2" w:rsidR="00BD7FB6" w:rsidRDefault="00BD7FB6" w:rsidP="00BD7FB6">
            <w:pPr>
              <w:pStyle w:val="a3"/>
            </w:pPr>
            <w:r>
              <w:t>0,042</w:t>
            </w:r>
          </w:p>
        </w:tc>
        <w:tc>
          <w:tcPr>
            <w:tcW w:w="1035" w:type="dxa"/>
          </w:tcPr>
          <w:p w14:paraId="288A87D7" w14:textId="72B1BD27" w:rsidR="00BD7FB6" w:rsidRDefault="00BD7FB6" w:rsidP="00BD7FB6">
            <w:pPr>
              <w:pStyle w:val="a3"/>
            </w:pPr>
            <w:r>
              <w:t>0,084</w:t>
            </w:r>
          </w:p>
        </w:tc>
        <w:tc>
          <w:tcPr>
            <w:tcW w:w="1035" w:type="dxa"/>
          </w:tcPr>
          <w:p w14:paraId="6589FC59" w14:textId="59F8A397" w:rsidR="00BD7FB6" w:rsidRDefault="00BD7FB6" w:rsidP="00BD7FB6">
            <w:pPr>
              <w:pStyle w:val="a3"/>
            </w:pPr>
            <w:r>
              <w:t>0,167</w:t>
            </w:r>
          </w:p>
        </w:tc>
        <w:tc>
          <w:tcPr>
            <w:tcW w:w="1036" w:type="dxa"/>
          </w:tcPr>
          <w:p w14:paraId="79A2D9D7" w14:textId="3E94F846" w:rsidR="00BD7FB6" w:rsidRDefault="00BD7FB6" w:rsidP="00BD7FB6">
            <w:pPr>
              <w:pStyle w:val="a3"/>
            </w:pPr>
            <w:r>
              <w:t>0,334</w:t>
            </w:r>
          </w:p>
        </w:tc>
        <w:tc>
          <w:tcPr>
            <w:tcW w:w="1036" w:type="dxa"/>
          </w:tcPr>
          <w:p w14:paraId="778C0271" w14:textId="6CC69057" w:rsidR="00BD7FB6" w:rsidRDefault="00BD7FB6" w:rsidP="00BD7FB6">
            <w:pPr>
              <w:pStyle w:val="a3"/>
            </w:pPr>
            <w:r>
              <w:t>0,668</w:t>
            </w:r>
          </w:p>
        </w:tc>
        <w:tc>
          <w:tcPr>
            <w:tcW w:w="1036" w:type="dxa"/>
          </w:tcPr>
          <w:p w14:paraId="51469446" w14:textId="0ACAB894" w:rsidR="00BD7FB6" w:rsidRDefault="00BD7FB6" w:rsidP="00BD7FB6">
            <w:pPr>
              <w:pStyle w:val="a3"/>
            </w:pPr>
            <w:r>
              <w:t>1,337</w:t>
            </w:r>
          </w:p>
        </w:tc>
      </w:tr>
      <w:tr w:rsidR="00BD7FB6" w14:paraId="3DE489D4" w14:textId="77777777" w:rsidTr="00804991">
        <w:tc>
          <w:tcPr>
            <w:tcW w:w="1060" w:type="dxa"/>
          </w:tcPr>
          <w:p w14:paraId="40C27C65" w14:textId="1D2D7E4D" w:rsidR="00BD7FB6" w:rsidRDefault="00BD7FB6" w:rsidP="00804991">
            <w:pPr>
              <w:pStyle w:val="a3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∆L,дБ</m:t>
                </m:r>
              </m:oMath>
            </m:oMathPara>
          </w:p>
        </w:tc>
        <w:tc>
          <w:tcPr>
            <w:tcW w:w="1036" w:type="dxa"/>
          </w:tcPr>
          <w:p w14:paraId="002B02FD" w14:textId="12662BF4" w:rsidR="00BD7FB6" w:rsidRDefault="00BD7FB6" w:rsidP="00BD7FB6">
            <w:pPr>
              <w:pStyle w:val="a3"/>
            </w:pPr>
            <w:r>
              <w:t>23</w:t>
            </w:r>
          </w:p>
        </w:tc>
        <w:tc>
          <w:tcPr>
            <w:tcW w:w="1036" w:type="dxa"/>
          </w:tcPr>
          <w:p w14:paraId="0D1E64A7" w14:textId="41508435" w:rsidR="00BD7FB6" w:rsidRDefault="00BD7FB6" w:rsidP="00BD7FB6">
            <w:pPr>
              <w:pStyle w:val="a3"/>
            </w:pPr>
            <w:r>
              <w:t>20</w:t>
            </w:r>
          </w:p>
        </w:tc>
        <w:tc>
          <w:tcPr>
            <w:tcW w:w="1035" w:type="dxa"/>
          </w:tcPr>
          <w:p w14:paraId="62080BBF" w14:textId="22AF0B59" w:rsidR="00BD7FB6" w:rsidRDefault="00BD7FB6" w:rsidP="00BD7FB6">
            <w:pPr>
              <w:pStyle w:val="a3"/>
            </w:pPr>
            <w:r>
              <w:t>15</w:t>
            </w:r>
          </w:p>
        </w:tc>
        <w:tc>
          <w:tcPr>
            <w:tcW w:w="1035" w:type="dxa"/>
          </w:tcPr>
          <w:p w14:paraId="69B785A0" w14:textId="21C8410A" w:rsidR="00BD7FB6" w:rsidRDefault="00BD7FB6" w:rsidP="00BD7FB6">
            <w:pPr>
              <w:pStyle w:val="a3"/>
            </w:pPr>
            <w:r>
              <w:t>7,5</w:t>
            </w:r>
          </w:p>
        </w:tc>
        <w:tc>
          <w:tcPr>
            <w:tcW w:w="1035" w:type="dxa"/>
          </w:tcPr>
          <w:p w14:paraId="408E4795" w14:textId="1A73CEC3" w:rsidR="00BD7FB6" w:rsidRDefault="00BD7FB6" w:rsidP="00BD7FB6">
            <w:pPr>
              <w:pStyle w:val="a3"/>
            </w:pPr>
            <w:r>
              <w:t>5</w:t>
            </w:r>
          </w:p>
        </w:tc>
        <w:tc>
          <w:tcPr>
            <w:tcW w:w="1036" w:type="dxa"/>
          </w:tcPr>
          <w:p w14:paraId="2D5CEDA8" w14:textId="70BC887F" w:rsidR="00BD7FB6" w:rsidRDefault="00BD7FB6" w:rsidP="00BD7FB6">
            <w:pPr>
              <w:pStyle w:val="a3"/>
            </w:pPr>
            <w:r>
              <w:t>6,5</w:t>
            </w:r>
          </w:p>
        </w:tc>
        <w:tc>
          <w:tcPr>
            <w:tcW w:w="1036" w:type="dxa"/>
          </w:tcPr>
          <w:p w14:paraId="6116074B" w14:textId="21527813" w:rsidR="00BD7FB6" w:rsidRDefault="00BD7FB6" w:rsidP="00BD7FB6">
            <w:pPr>
              <w:pStyle w:val="a3"/>
            </w:pPr>
            <w:r>
              <w:t>8,5</w:t>
            </w:r>
          </w:p>
        </w:tc>
        <w:tc>
          <w:tcPr>
            <w:tcW w:w="1036" w:type="dxa"/>
          </w:tcPr>
          <w:p w14:paraId="2522AA1B" w14:textId="52F86DE0" w:rsidR="00BD7FB6" w:rsidRDefault="00BD7FB6" w:rsidP="00BD7FB6">
            <w:pPr>
              <w:pStyle w:val="a3"/>
            </w:pPr>
            <w:r>
              <w:t>13</w:t>
            </w:r>
          </w:p>
        </w:tc>
      </w:tr>
      <w:tr w:rsidR="00804991" w14:paraId="7AD74E83" w14:textId="77777777" w:rsidTr="00804991">
        <w:tc>
          <w:tcPr>
            <w:tcW w:w="1060" w:type="dxa"/>
          </w:tcPr>
          <w:p w14:paraId="7C046D1E" w14:textId="6C9BC470" w:rsidR="00804991" w:rsidRPr="00804991" w:rsidRDefault="00B74ED5" w:rsidP="00804991">
            <w:pPr>
              <w:pStyle w:val="a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ист</m:t>
                  </m:r>
                </m:sub>
              </m:sSub>
            </m:oMath>
            <w:r w:rsidR="00804991">
              <w:t>,</w:t>
            </w:r>
            <w:r w:rsidR="00804991" w:rsidRPr="00804991">
              <w:t>дБ</w:t>
            </w:r>
          </w:p>
        </w:tc>
        <w:tc>
          <w:tcPr>
            <w:tcW w:w="1036" w:type="dxa"/>
          </w:tcPr>
          <w:p w14:paraId="50DB22AA" w14:textId="0256CB91" w:rsidR="00804991" w:rsidRDefault="00804991" w:rsidP="00804991">
            <w:pPr>
              <w:pStyle w:val="a3"/>
            </w:pPr>
            <w:r>
              <w:rPr>
                <w:lang w:val="en-US"/>
              </w:rPr>
              <w:t>137</w:t>
            </w:r>
          </w:p>
        </w:tc>
        <w:tc>
          <w:tcPr>
            <w:tcW w:w="1036" w:type="dxa"/>
          </w:tcPr>
          <w:p w14:paraId="01CDBCE3" w14:textId="56CC3970" w:rsidR="00804991" w:rsidRDefault="00804991" w:rsidP="00804991">
            <w:pPr>
              <w:pStyle w:val="a3"/>
            </w:pPr>
            <w:r>
              <w:rPr>
                <w:lang w:val="en-US"/>
              </w:rPr>
              <w:t>140</w:t>
            </w:r>
          </w:p>
        </w:tc>
        <w:tc>
          <w:tcPr>
            <w:tcW w:w="1035" w:type="dxa"/>
          </w:tcPr>
          <w:p w14:paraId="4CD3FDDF" w14:textId="73C46DA1" w:rsidR="00804991" w:rsidRDefault="00804991" w:rsidP="00804991">
            <w:pPr>
              <w:pStyle w:val="a3"/>
            </w:pPr>
            <w:r>
              <w:rPr>
                <w:lang w:val="en-US"/>
              </w:rPr>
              <w:t>145</w:t>
            </w:r>
          </w:p>
        </w:tc>
        <w:tc>
          <w:tcPr>
            <w:tcW w:w="1035" w:type="dxa"/>
          </w:tcPr>
          <w:p w14:paraId="7BBF30B2" w14:textId="51AEB891" w:rsidR="00804991" w:rsidRDefault="00804991" w:rsidP="00804991">
            <w:pPr>
              <w:pStyle w:val="a3"/>
            </w:pPr>
            <w:r>
              <w:rPr>
                <w:lang w:val="en-US"/>
              </w:rPr>
              <w:t>152.5</w:t>
            </w:r>
          </w:p>
        </w:tc>
        <w:tc>
          <w:tcPr>
            <w:tcW w:w="1035" w:type="dxa"/>
          </w:tcPr>
          <w:p w14:paraId="70BC27F4" w14:textId="36EB6EEA" w:rsidR="00804991" w:rsidRDefault="00804991" w:rsidP="00804991">
            <w:pPr>
              <w:pStyle w:val="a3"/>
            </w:pPr>
            <w:r>
              <w:rPr>
                <w:lang w:val="en-US"/>
              </w:rPr>
              <w:t>155</w:t>
            </w:r>
          </w:p>
        </w:tc>
        <w:tc>
          <w:tcPr>
            <w:tcW w:w="1036" w:type="dxa"/>
          </w:tcPr>
          <w:p w14:paraId="7D55AF40" w14:textId="010AD17E" w:rsidR="00804991" w:rsidRDefault="00804991" w:rsidP="00804991">
            <w:pPr>
              <w:pStyle w:val="a3"/>
            </w:pPr>
            <w:r>
              <w:rPr>
                <w:lang w:val="en-US"/>
              </w:rPr>
              <w:t>153.5</w:t>
            </w:r>
          </w:p>
        </w:tc>
        <w:tc>
          <w:tcPr>
            <w:tcW w:w="1036" w:type="dxa"/>
          </w:tcPr>
          <w:p w14:paraId="5B3134F1" w14:textId="17137105" w:rsidR="00804991" w:rsidRDefault="00804991" w:rsidP="00804991">
            <w:pPr>
              <w:pStyle w:val="a3"/>
            </w:pPr>
            <w:r>
              <w:rPr>
                <w:lang w:val="en-US"/>
              </w:rPr>
              <w:t>151.5</w:t>
            </w:r>
          </w:p>
        </w:tc>
        <w:tc>
          <w:tcPr>
            <w:tcW w:w="1036" w:type="dxa"/>
          </w:tcPr>
          <w:p w14:paraId="09C8E3C9" w14:textId="5FE380AB" w:rsidR="00804991" w:rsidRDefault="00804991" w:rsidP="00804991">
            <w:pPr>
              <w:pStyle w:val="a3"/>
            </w:pPr>
            <w:r>
              <w:rPr>
                <w:lang w:val="en-US"/>
              </w:rPr>
              <w:t>147</w:t>
            </w:r>
          </w:p>
        </w:tc>
      </w:tr>
    </w:tbl>
    <w:p w14:paraId="5ECA2A79" w14:textId="3B922C1F" w:rsidR="00BD7FB6" w:rsidRDefault="00BD7FB6" w:rsidP="00BD7FB6">
      <w:pPr>
        <w:pStyle w:val="a3"/>
        <w:ind w:firstLine="708"/>
      </w:pPr>
    </w:p>
    <w:p w14:paraId="71B36DB0" w14:textId="13B5B74D" w:rsidR="007E436F" w:rsidRDefault="007E436F" w:rsidP="00BD7FB6">
      <w:pPr>
        <w:pStyle w:val="a3"/>
        <w:ind w:firstLine="708"/>
      </w:pPr>
      <w:r>
        <w:t>Для дальнейшего расчета нужно задаться допустимым уровнем шума</w:t>
      </w:r>
      <w:r w:rsidR="0080499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в зоне для персонала на местах проведения испытательных пусков при наличии радиосвязи. Ему соответс</w:t>
      </w:r>
      <w:r w:rsidR="008D004E">
        <w:t>твуют нормы шума на рабочих местах водителей и обсуждающего персонала тракторов, самоходных шасси и др</w:t>
      </w:r>
      <w:r>
        <w:t>.</w:t>
      </w:r>
      <w:r w:rsidR="001B3D8D">
        <w:t xml:space="preserve">, согласно </w:t>
      </w:r>
      <w:r w:rsidR="001B3D8D">
        <w:rPr>
          <w:szCs w:val="28"/>
        </w:rPr>
        <w:t>ГОСТ 12.1.003-83 «Система стандартов безопасности труда. Шум. Общие требования безопасности»</w:t>
      </w:r>
      <w:r w:rsidR="001B3D8D">
        <w:t>.</w:t>
      </w:r>
      <w:r>
        <w:t xml:space="preserve"> </w:t>
      </w:r>
      <w:r w:rsidR="00804991">
        <w:t xml:space="preserve">Тогда требуемое снижение уровня шума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треб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="00804991">
        <w:t>составит:</w:t>
      </w:r>
    </w:p>
    <w:p w14:paraId="5548B40D" w14:textId="4FFC0052" w:rsidR="007E436F" w:rsidRPr="001B3D8D" w:rsidRDefault="00B74ED5" w:rsidP="00BD7FB6">
      <w:pPr>
        <w:pStyle w:val="a3"/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треб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ист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1A5244E" w14:textId="7ED324C5" w:rsidR="0006402E" w:rsidRPr="009E6FBA" w:rsidRDefault="0006402E" w:rsidP="00BD7FB6">
      <w:pPr>
        <w:pStyle w:val="a3"/>
        <w:ind w:firstLine="708"/>
        <w:rPr>
          <w:rFonts w:eastAsiaTheme="minorEastAsia"/>
        </w:rPr>
      </w:pPr>
      <w:r>
        <w:rPr>
          <w:rFonts w:eastAsiaTheme="minorEastAsia"/>
        </w:rPr>
        <w:t>Таблица</w:t>
      </w:r>
      <w:r w:rsidR="00804991">
        <w:rPr>
          <w:rFonts w:eastAsiaTheme="minorEastAsia"/>
        </w:rPr>
        <w:t xml:space="preserve"> 5.2.2 - </w:t>
      </w:r>
      <w:r>
        <w:rPr>
          <w:rFonts w:eastAsiaTheme="minorEastAsia"/>
        </w:rPr>
        <w:t>Требуемые снижения уровней шума и требуемые снижения уровня шума при использовании СИЗ органов слуха</w:t>
      </w:r>
      <w:r w:rsidR="0080499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треб СЗ</m:t>
            </m:r>
          </m:sub>
        </m:sSub>
        <m:r>
          <w:rPr>
            <w:rFonts w:ascii="Cambria Math" w:hAnsi="Cambria Math"/>
          </w:rPr>
          <m:t>=30дБ</m:t>
        </m:r>
      </m:oMath>
      <w:r w:rsidR="009E6FBA">
        <w:rPr>
          <w:rFonts w:eastAsiaTheme="minor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5"/>
        <w:gridCol w:w="951"/>
        <w:gridCol w:w="955"/>
        <w:gridCol w:w="955"/>
        <w:gridCol w:w="992"/>
        <w:gridCol w:w="985"/>
        <w:gridCol w:w="998"/>
        <w:gridCol w:w="998"/>
        <w:gridCol w:w="986"/>
      </w:tblGrid>
      <w:tr w:rsidR="0006402E" w14:paraId="79539BD2" w14:textId="77777777" w:rsidTr="0006402E">
        <w:tc>
          <w:tcPr>
            <w:tcW w:w="1525" w:type="dxa"/>
          </w:tcPr>
          <w:p w14:paraId="0C31F67E" w14:textId="77777777" w:rsidR="0006402E" w:rsidRDefault="00B74ED5" w:rsidP="008F3B5B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 Гц</m:t>
                </m:r>
              </m:oMath>
            </m:oMathPara>
          </w:p>
        </w:tc>
        <w:tc>
          <w:tcPr>
            <w:tcW w:w="951" w:type="dxa"/>
          </w:tcPr>
          <w:p w14:paraId="73C9EC94" w14:textId="77777777" w:rsidR="0006402E" w:rsidRDefault="0006402E" w:rsidP="008F3B5B">
            <w:pPr>
              <w:pStyle w:val="a3"/>
            </w:pPr>
            <w:r>
              <w:t>63</w:t>
            </w:r>
          </w:p>
        </w:tc>
        <w:tc>
          <w:tcPr>
            <w:tcW w:w="955" w:type="dxa"/>
          </w:tcPr>
          <w:p w14:paraId="2485DB6F" w14:textId="77777777" w:rsidR="0006402E" w:rsidRDefault="0006402E" w:rsidP="008F3B5B">
            <w:pPr>
              <w:pStyle w:val="a3"/>
            </w:pPr>
            <w:r>
              <w:t>125</w:t>
            </w:r>
          </w:p>
        </w:tc>
        <w:tc>
          <w:tcPr>
            <w:tcW w:w="955" w:type="dxa"/>
          </w:tcPr>
          <w:p w14:paraId="3E3FF9EE" w14:textId="77777777" w:rsidR="0006402E" w:rsidRDefault="0006402E" w:rsidP="008F3B5B">
            <w:pPr>
              <w:pStyle w:val="a3"/>
            </w:pPr>
            <w:r>
              <w:t>250</w:t>
            </w:r>
          </w:p>
        </w:tc>
        <w:tc>
          <w:tcPr>
            <w:tcW w:w="992" w:type="dxa"/>
          </w:tcPr>
          <w:p w14:paraId="3763F9AD" w14:textId="77777777" w:rsidR="0006402E" w:rsidRDefault="0006402E" w:rsidP="008F3B5B">
            <w:pPr>
              <w:pStyle w:val="a3"/>
            </w:pPr>
            <w:r>
              <w:t>500</w:t>
            </w:r>
          </w:p>
        </w:tc>
        <w:tc>
          <w:tcPr>
            <w:tcW w:w="985" w:type="dxa"/>
          </w:tcPr>
          <w:p w14:paraId="116E3000" w14:textId="77777777" w:rsidR="0006402E" w:rsidRDefault="0006402E" w:rsidP="008F3B5B">
            <w:pPr>
              <w:pStyle w:val="a3"/>
            </w:pPr>
            <w:r>
              <w:t>1000</w:t>
            </w:r>
          </w:p>
        </w:tc>
        <w:tc>
          <w:tcPr>
            <w:tcW w:w="998" w:type="dxa"/>
          </w:tcPr>
          <w:p w14:paraId="4B3434C9" w14:textId="77777777" w:rsidR="0006402E" w:rsidRDefault="0006402E" w:rsidP="008F3B5B">
            <w:pPr>
              <w:pStyle w:val="a3"/>
            </w:pPr>
            <w:r>
              <w:t>2000</w:t>
            </w:r>
          </w:p>
        </w:tc>
        <w:tc>
          <w:tcPr>
            <w:tcW w:w="998" w:type="dxa"/>
          </w:tcPr>
          <w:p w14:paraId="2CD9D31F" w14:textId="77777777" w:rsidR="0006402E" w:rsidRDefault="0006402E" w:rsidP="008F3B5B">
            <w:pPr>
              <w:pStyle w:val="a3"/>
            </w:pPr>
            <w:r>
              <w:t>4000</w:t>
            </w:r>
          </w:p>
        </w:tc>
        <w:tc>
          <w:tcPr>
            <w:tcW w:w="986" w:type="dxa"/>
          </w:tcPr>
          <w:p w14:paraId="3B850668" w14:textId="77777777" w:rsidR="0006402E" w:rsidRDefault="0006402E" w:rsidP="008F3B5B">
            <w:pPr>
              <w:pStyle w:val="a3"/>
            </w:pPr>
            <w:r>
              <w:t>8000</w:t>
            </w:r>
          </w:p>
        </w:tc>
      </w:tr>
      <w:tr w:rsidR="0006402E" w14:paraId="41DE5180" w14:textId="77777777" w:rsidTr="0006402E">
        <w:tc>
          <w:tcPr>
            <w:tcW w:w="1525" w:type="dxa"/>
          </w:tcPr>
          <w:p w14:paraId="178DB18A" w14:textId="69AD7025" w:rsidR="0006402E" w:rsidRDefault="00B74ED5" w:rsidP="00804991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ист</m:t>
                    </m:r>
                  </m:sub>
                </m:sSub>
                <m:r>
                  <w:rPr>
                    <w:rFonts w:ascii="Cambria Math" w:hAnsi="Cambria Math"/>
                  </w:rPr>
                  <m:t>, дБ</m:t>
                </m:r>
              </m:oMath>
            </m:oMathPara>
          </w:p>
        </w:tc>
        <w:tc>
          <w:tcPr>
            <w:tcW w:w="951" w:type="dxa"/>
          </w:tcPr>
          <w:p w14:paraId="31E0C47D" w14:textId="4E3291A1" w:rsidR="0006402E" w:rsidRPr="0006402E" w:rsidRDefault="0006402E" w:rsidP="008F3B5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955" w:type="dxa"/>
          </w:tcPr>
          <w:p w14:paraId="16DEC295" w14:textId="5C60CEDD" w:rsidR="0006402E" w:rsidRPr="0006402E" w:rsidRDefault="0006402E" w:rsidP="008F3B5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955" w:type="dxa"/>
          </w:tcPr>
          <w:p w14:paraId="7ADB996E" w14:textId="11287020" w:rsidR="0006402E" w:rsidRPr="0006402E" w:rsidRDefault="0006402E" w:rsidP="008F3B5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992" w:type="dxa"/>
          </w:tcPr>
          <w:p w14:paraId="5599FFDB" w14:textId="1FA3C1CC" w:rsidR="0006402E" w:rsidRPr="0006402E" w:rsidRDefault="009E6FBA" w:rsidP="008F3B5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152,</w:t>
            </w:r>
            <w:r w:rsidR="0006402E">
              <w:rPr>
                <w:lang w:val="en-US"/>
              </w:rPr>
              <w:t>5</w:t>
            </w:r>
          </w:p>
        </w:tc>
        <w:tc>
          <w:tcPr>
            <w:tcW w:w="985" w:type="dxa"/>
          </w:tcPr>
          <w:p w14:paraId="0FF947CF" w14:textId="3CDF36AF" w:rsidR="0006402E" w:rsidRPr="0006402E" w:rsidRDefault="0006402E" w:rsidP="008F3B5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998" w:type="dxa"/>
          </w:tcPr>
          <w:p w14:paraId="69447C1B" w14:textId="34B0A31D" w:rsidR="0006402E" w:rsidRPr="0006402E" w:rsidRDefault="009E6FBA" w:rsidP="008F3B5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153,</w:t>
            </w:r>
            <w:r w:rsidR="0006402E">
              <w:rPr>
                <w:lang w:val="en-US"/>
              </w:rPr>
              <w:t>5</w:t>
            </w:r>
          </w:p>
        </w:tc>
        <w:tc>
          <w:tcPr>
            <w:tcW w:w="998" w:type="dxa"/>
          </w:tcPr>
          <w:p w14:paraId="035A0296" w14:textId="632ED7D6" w:rsidR="0006402E" w:rsidRPr="0006402E" w:rsidRDefault="009E6FBA" w:rsidP="008F3B5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151,</w:t>
            </w:r>
            <w:r w:rsidR="0006402E">
              <w:rPr>
                <w:lang w:val="en-US"/>
              </w:rPr>
              <w:t>5</w:t>
            </w:r>
          </w:p>
        </w:tc>
        <w:tc>
          <w:tcPr>
            <w:tcW w:w="986" w:type="dxa"/>
          </w:tcPr>
          <w:p w14:paraId="2F21E1C0" w14:textId="150A1B29" w:rsidR="0006402E" w:rsidRPr="0006402E" w:rsidRDefault="0006402E" w:rsidP="008F3B5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</w:tr>
      <w:tr w:rsidR="0006402E" w14:paraId="33B604BC" w14:textId="77777777" w:rsidTr="0006402E">
        <w:tc>
          <w:tcPr>
            <w:tcW w:w="1525" w:type="dxa"/>
          </w:tcPr>
          <w:p w14:paraId="08E971AC" w14:textId="743EE07F" w:rsidR="0006402E" w:rsidRDefault="00B74ED5" w:rsidP="0006402E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доп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,дБ</m:t>
                </m:r>
              </m:oMath>
            </m:oMathPara>
          </w:p>
        </w:tc>
        <w:tc>
          <w:tcPr>
            <w:tcW w:w="951" w:type="dxa"/>
            <w:vAlign w:val="center"/>
          </w:tcPr>
          <w:p w14:paraId="7EBA829C" w14:textId="4996FFEE" w:rsidR="0006402E" w:rsidRDefault="008D004E" w:rsidP="0006402E">
            <w:pPr>
              <w:pStyle w:val="a3"/>
            </w:pPr>
            <w:r>
              <w:t>95</w:t>
            </w:r>
          </w:p>
        </w:tc>
        <w:tc>
          <w:tcPr>
            <w:tcW w:w="955" w:type="dxa"/>
            <w:vAlign w:val="center"/>
          </w:tcPr>
          <w:p w14:paraId="5431A48A" w14:textId="571D0E24" w:rsidR="0006402E" w:rsidRDefault="008D004E" w:rsidP="0006402E">
            <w:pPr>
              <w:pStyle w:val="a3"/>
            </w:pPr>
            <w:r>
              <w:t>87</w:t>
            </w:r>
          </w:p>
        </w:tc>
        <w:tc>
          <w:tcPr>
            <w:tcW w:w="955" w:type="dxa"/>
            <w:vAlign w:val="center"/>
          </w:tcPr>
          <w:p w14:paraId="0F82245E" w14:textId="0C206369" w:rsidR="0006402E" w:rsidRDefault="008D004E" w:rsidP="0006402E">
            <w:pPr>
              <w:pStyle w:val="a3"/>
            </w:pPr>
            <w:r>
              <w:t>82</w:t>
            </w:r>
          </w:p>
        </w:tc>
        <w:tc>
          <w:tcPr>
            <w:tcW w:w="992" w:type="dxa"/>
            <w:vAlign w:val="center"/>
          </w:tcPr>
          <w:p w14:paraId="0EB9E2A6" w14:textId="40ABC887" w:rsidR="0006402E" w:rsidRDefault="008D004E" w:rsidP="0006402E">
            <w:pPr>
              <w:pStyle w:val="a3"/>
            </w:pPr>
            <w:r>
              <w:t>78</w:t>
            </w:r>
          </w:p>
        </w:tc>
        <w:tc>
          <w:tcPr>
            <w:tcW w:w="985" w:type="dxa"/>
            <w:vAlign w:val="center"/>
          </w:tcPr>
          <w:p w14:paraId="0C38AC23" w14:textId="1A975E3A" w:rsidR="0006402E" w:rsidRDefault="008D004E" w:rsidP="0006402E">
            <w:pPr>
              <w:pStyle w:val="a3"/>
            </w:pPr>
            <w:r>
              <w:t>75</w:t>
            </w:r>
          </w:p>
        </w:tc>
        <w:tc>
          <w:tcPr>
            <w:tcW w:w="998" w:type="dxa"/>
            <w:vAlign w:val="center"/>
          </w:tcPr>
          <w:p w14:paraId="7530662C" w14:textId="5FA2AD48" w:rsidR="0006402E" w:rsidRDefault="008D004E" w:rsidP="0006402E">
            <w:pPr>
              <w:pStyle w:val="a3"/>
            </w:pPr>
            <w:r>
              <w:t>73</w:t>
            </w:r>
          </w:p>
        </w:tc>
        <w:tc>
          <w:tcPr>
            <w:tcW w:w="998" w:type="dxa"/>
            <w:vAlign w:val="center"/>
          </w:tcPr>
          <w:p w14:paraId="5CCC8D4F" w14:textId="0F11C5A1" w:rsidR="0006402E" w:rsidRDefault="008D004E" w:rsidP="0006402E">
            <w:pPr>
              <w:pStyle w:val="a3"/>
            </w:pPr>
            <w:r>
              <w:t>71</w:t>
            </w:r>
          </w:p>
        </w:tc>
        <w:tc>
          <w:tcPr>
            <w:tcW w:w="986" w:type="dxa"/>
            <w:vAlign w:val="center"/>
          </w:tcPr>
          <w:p w14:paraId="2E55FC1F" w14:textId="1FE4BF4A" w:rsidR="0006402E" w:rsidRDefault="008D004E" w:rsidP="0006402E">
            <w:pPr>
              <w:pStyle w:val="a3"/>
            </w:pPr>
            <w:r>
              <w:t>69</w:t>
            </w:r>
          </w:p>
        </w:tc>
      </w:tr>
      <w:tr w:rsidR="008D004E" w14:paraId="091D5BBE" w14:textId="77777777" w:rsidTr="000C2BFE">
        <w:tc>
          <w:tcPr>
            <w:tcW w:w="1525" w:type="dxa"/>
          </w:tcPr>
          <w:p w14:paraId="77168B28" w14:textId="585742D3" w:rsidR="008D004E" w:rsidRDefault="00B74ED5" w:rsidP="00804991">
            <w:pPr>
              <w:pStyle w:val="a3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треб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,дБ</m:t>
                </m:r>
              </m:oMath>
            </m:oMathPara>
          </w:p>
        </w:tc>
        <w:tc>
          <w:tcPr>
            <w:tcW w:w="951" w:type="dxa"/>
            <w:vAlign w:val="center"/>
          </w:tcPr>
          <w:p w14:paraId="36E58467" w14:textId="2AD08CFD" w:rsidR="008D004E" w:rsidRPr="0006402E" w:rsidRDefault="008D004E" w:rsidP="008D004E">
            <w:pPr>
              <w:pStyle w:val="a3"/>
            </w:pPr>
            <w:r w:rsidRPr="008D004E">
              <w:t>42</w:t>
            </w:r>
          </w:p>
        </w:tc>
        <w:tc>
          <w:tcPr>
            <w:tcW w:w="955" w:type="dxa"/>
            <w:vAlign w:val="center"/>
          </w:tcPr>
          <w:p w14:paraId="1E153B76" w14:textId="0A734ACB" w:rsidR="008D004E" w:rsidRPr="0006402E" w:rsidRDefault="008D004E" w:rsidP="008D004E">
            <w:pPr>
              <w:pStyle w:val="a3"/>
            </w:pPr>
            <w:r w:rsidRPr="008D004E">
              <w:t>53</w:t>
            </w:r>
          </w:p>
        </w:tc>
        <w:tc>
          <w:tcPr>
            <w:tcW w:w="955" w:type="dxa"/>
            <w:vAlign w:val="center"/>
          </w:tcPr>
          <w:p w14:paraId="2F96E1C1" w14:textId="69722E83" w:rsidR="008D004E" w:rsidRPr="0006402E" w:rsidRDefault="008D004E" w:rsidP="008D004E">
            <w:pPr>
              <w:pStyle w:val="a3"/>
            </w:pPr>
            <w:r w:rsidRPr="008D004E">
              <w:t>63</w:t>
            </w:r>
          </w:p>
        </w:tc>
        <w:tc>
          <w:tcPr>
            <w:tcW w:w="992" w:type="dxa"/>
            <w:vAlign w:val="center"/>
          </w:tcPr>
          <w:p w14:paraId="4A5F7251" w14:textId="6F4D94C8" w:rsidR="008D004E" w:rsidRPr="0006402E" w:rsidRDefault="009E6FBA" w:rsidP="008D004E">
            <w:pPr>
              <w:pStyle w:val="a3"/>
            </w:pPr>
            <w:r>
              <w:t>74,</w:t>
            </w:r>
            <w:r w:rsidR="008D004E" w:rsidRPr="008D004E">
              <w:t>5</w:t>
            </w:r>
          </w:p>
        </w:tc>
        <w:tc>
          <w:tcPr>
            <w:tcW w:w="985" w:type="dxa"/>
            <w:vAlign w:val="center"/>
          </w:tcPr>
          <w:p w14:paraId="4AB17906" w14:textId="45E3E6EA" w:rsidR="008D004E" w:rsidRPr="0006402E" w:rsidRDefault="008D004E" w:rsidP="008D004E">
            <w:pPr>
              <w:pStyle w:val="a3"/>
            </w:pPr>
            <w:r w:rsidRPr="008D004E">
              <w:t>80</w:t>
            </w:r>
          </w:p>
        </w:tc>
        <w:tc>
          <w:tcPr>
            <w:tcW w:w="998" w:type="dxa"/>
            <w:vAlign w:val="center"/>
          </w:tcPr>
          <w:p w14:paraId="157CAEBA" w14:textId="4B85E877" w:rsidR="008D004E" w:rsidRPr="0006402E" w:rsidRDefault="009E6FBA" w:rsidP="008D004E">
            <w:pPr>
              <w:pStyle w:val="a3"/>
            </w:pPr>
            <w:r>
              <w:t>80,</w:t>
            </w:r>
            <w:r w:rsidR="008D004E" w:rsidRPr="008D004E">
              <w:t>5</w:t>
            </w:r>
          </w:p>
        </w:tc>
        <w:tc>
          <w:tcPr>
            <w:tcW w:w="998" w:type="dxa"/>
            <w:vAlign w:val="center"/>
          </w:tcPr>
          <w:p w14:paraId="6B47DD59" w14:textId="5A2BF4B8" w:rsidR="008D004E" w:rsidRPr="0006402E" w:rsidRDefault="009E6FBA" w:rsidP="008D004E">
            <w:pPr>
              <w:pStyle w:val="a3"/>
            </w:pPr>
            <w:r>
              <w:t>80,</w:t>
            </w:r>
            <w:r w:rsidR="008D004E" w:rsidRPr="008D004E">
              <w:t>5</w:t>
            </w:r>
          </w:p>
        </w:tc>
        <w:tc>
          <w:tcPr>
            <w:tcW w:w="986" w:type="dxa"/>
            <w:vAlign w:val="center"/>
          </w:tcPr>
          <w:p w14:paraId="3F039FFC" w14:textId="38215A51" w:rsidR="008D004E" w:rsidRPr="0006402E" w:rsidRDefault="008D004E" w:rsidP="008D004E">
            <w:pPr>
              <w:pStyle w:val="a3"/>
            </w:pPr>
            <w:r w:rsidRPr="008D004E">
              <w:t>78</w:t>
            </w:r>
          </w:p>
        </w:tc>
      </w:tr>
      <w:tr w:rsidR="008D004E" w14:paraId="2A191609" w14:textId="77777777" w:rsidTr="001B542C">
        <w:tc>
          <w:tcPr>
            <w:tcW w:w="1525" w:type="dxa"/>
          </w:tcPr>
          <w:p w14:paraId="004416B5" w14:textId="00389E10" w:rsidR="008D004E" w:rsidRDefault="00B74ED5" w:rsidP="00804991">
            <w:pPr>
              <w:pStyle w:val="a3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треб СЗ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,дБ</m:t>
                </m:r>
              </m:oMath>
            </m:oMathPara>
          </w:p>
        </w:tc>
        <w:tc>
          <w:tcPr>
            <w:tcW w:w="951" w:type="dxa"/>
            <w:vAlign w:val="bottom"/>
          </w:tcPr>
          <w:p w14:paraId="4F27D679" w14:textId="169092FD" w:rsidR="008D004E" w:rsidRDefault="008D004E" w:rsidP="008D004E">
            <w:pPr>
              <w:pStyle w:val="a3"/>
            </w:pPr>
            <w:r w:rsidRPr="008D004E">
              <w:t>12</w:t>
            </w:r>
          </w:p>
        </w:tc>
        <w:tc>
          <w:tcPr>
            <w:tcW w:w="955" w:type="dxa"/>
            <w:vAlign w:val="bottom"/>
          </w:tcPr>
          <w:p w14:paraId="465BCD0E" w14:textId="635DF883" w:rsidR="008D004E" w:rsidRDefault="008D004E" w:rsidP="008D004E">
            <w:pPr>
              <w:pStyle w:val="a3"/>
            </w:pPr>
            <w:r w:rsidRPr="008D004E">
              <w:t>23</w:t>
            </w:r>
          </w:p>
        </w:tc>
        <w:tc>
          <w:tcPr>
            <w:tcW w:w="955" w:type="dxa"/>
            <w:vAlign w:val="bottom"/>
          </w:tcPr>
          <w:p w14:paraId="4AD665EE" w14:textId="36B5217E" w:rsidR="008D004E" w:rsidRDefault="008D004E" w:rsidP="008D004E">
            <w:pPr>
              <w:pStyle w:val="a3"/>
            </w:pPr>
            <w:r w:rsidRPr="008D004E">
              <w:t>33</w:t>
            </w:r>
          </w:p>
        </w:tc>
        <w:tc>
          <w:tcPr>
            <w:tcW w:w="992" w:type="dxa"/>
            <w:vAlign w:val="bottom"/>
          </w:tcPr>
          <w:p w14:paraId="1E113F1E" w14:textId="597EE326" w:rsidR="008D004E" w:rsidRDefault="009E6FBA" w:rsidP="008D004E">
            <w:pPr>
              <w:pStyle w:val="a3"/>
            </w:pPr>
            <w:r>
              <w:t>44,</w:t>
            </w:r>
            <w:r w:rsidR="008D004E" w:rsidRPr="008D004E">
              <w:t>5</w:t>
            </w:r>
          </w:p>
        </w:tc>
        <w:tc>
          <w:tcPr>
            <w:tcW w:w="985" w:type="dxa"/>
            <w:vAlign w:val="bottom"/>
          </w:tcPr>
          <w:p w14:paraId="16AF2BB5" w14:textId="68A2E811" w:rsidR="008D004E" w:rsidRDefault="008D004E" w:rsidP="008D004E">
            <w:pPr>
              <w:pStyle w:val="a3"/>
            </w:pPr>
            <w:r w:rsidRPr="008D004E">
              <w:t>50</w:t>
            </w:r>
          </w:p>
        </w:tc>
        <w:tc>
          <w:tcPr>
            <w:tcW w:w="998" w:type="dxa"/>
            <w:vAlign w:val="bottom"/>
          </w:tcPr>
          <w:p w14:paraId="592C6F02" w14:textId="2D8DCECD" w:rsidR="008D004E" w:rsidRDefault="008D004E" w:rsidP="009E6FBA">
            <w:pPr>
              <w:pStyle w:val="a3"/>
            </w:pPr>
            <w:r w:rsidRPr="008D004E">
              <w:t>50</w:t>
            </w:r>
            <w:r w:rsidR="009E6FBA">
              <w:t>,</w:t>
            </w:r>
            <w:r w:rsidRPr="008D004E">
              <w:t>5</w:t>
            </w:r>
          </w:p>
        </w:tc>
        <w:tc>
          <w:tcPr>
            <w:tcW w:w="998" w:type="dxa"/>
            <w:vAlign w:val="bottom"/>
          </w:tcPr>
          <w:p w14:paraId="18AB78AB" w14:textId="631361EF" w:rsidR="008D004E" w:rsidRDefault="008D004E" w:rsidP="009E6FBA">
            <w:pPr>
              <w:pStyle w:val="a3"/>
            </w:pPr>
            <w:r w:rsidRPr="008D004E">
              <w:t>50</w:t>
            </w:r>
            <w:r w:rsidR="009E6FBA">
              <w:t>,</w:t>
            </w:r>
            <w:r w:rsidRPr="008D004E">
              <w:t>5</w:t>
            </w:r>
          </w:p>
        </w:tc>
        <w:tc>
          <w:tcPr>
            <w:tcW w:w="986" w:type="dxa"/>
            <w:vAlign w:val="bottom"/>
          </w:tcPr>
          <w:p w14:paraId="054102E7" w14:textId="61B22F5C" w:rsidR="008D004E" w:rsidRDefault="008D004E" w:rsidP="008D004E">
            <w:pPr>
              <w:pStyle w:val="a3"/>
            </w:pPr>
            <w:r w:rsidRPr="008D004E">
              <w:t>48</w:t>
            </w:r>
          </w:p>
        </w:tc>
      </w:tr>
    </w:tbl>
    <w:p w14:paraId="116C8B8A" w14:textId="60AF86A8" w:rsidR="0006402E" w:rsidRDefault="0006402E" w:rsidP="00BD7FB6">
      <w:pPr>
        <w:pStyle w:val="a3"/>
        <w:ind w:firstLine="708"/>
        <w:rPr>
          <w:lang w:val="en-US"/>
        </w:rPr>
      </w:pPr>
    </w:p>
    <w:p w14:paraId="127539FC" w14:textId="7EBB20B6" w:rsidR="00C130AD" w:rsidRDefault="00C130AD" w:rsidP="00BD7FB6">
      <w:pPr>
        <w:pStyle w:val="a3"/>
        <w:ind w:firstLine="708"/>
      </w:pPr>
      <w:r>
        <w:lastRenderedPageBreak/>
        <w:t>Для первого случая, кабина наблюдения за пуском выполнена из железобетонных блоков, имеющих толщину 300 мм и среднюю поверхностную плотность 750 кг/м</w:t>
      </w:r>
      <w:r>
        <w:rPr>
          <w:vertAlign w:val="superscript"/>
        </w:rPr>
        <w:t>3</w:t>
      </w:r>
    </w:p>
    <w:p w14:paraId="6BE2EA97" w14:textId="750ECB62" w:rsidR="00C130AD" w:rsidRPr="00E73C40" w:rsidRDefault="00C130AD" w:rsidP="00BD7FB6">
      <w:pPr>
        <w:pStyle w:val="a3"/>
        <w:ind w:firstLine="708"/>
      </w:pPr>
      <w:r>
        <w:t>В этом случае уровень снижения шума определяется</w:t>
      </w:r>
      <w:r w:rsidR="00E73C40" w:rsidRPr="00E73C40">
        <w:t xml:space="preserve"> [2]:</w:t>
      </w:r>
    </w:p>
    <w:p w14:paraId="25F4350A" w14:textId="47580148" w:rsidR="00C130AD" w:rsidRPr="00FE796F" w:rsidRDefault="00B74ED5" w:rsidP="001F58AD">
      <w:pPr>
        <w:pStyle w:val="a3"/>
        <w:ind w:firstLine="708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раст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 20</m:t>
        </m:r>
        <m:r>
          <w:rPr>
            <w:rFonts w:ascii="Cambria Math" w:hAnsi="Cambria Math"/>
          </w:rPr>
          <m:t>lg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+20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</m:oMath>
      <w:r w:rsidR="005D11B4">
        <w:rPr>
          <w:rFonts w:eastAsiaTheme="minorEastAsia"/>
          <w:i/>
        </w:rPr>
        <w:t>,</w:t>
      </w:r>
    </w:p>
    <w:p w14:paraId="6108AA5B" w14:textId="35F5CEA2" w:rsidR="005D11B4" w:rsidRPr="005D11B4" w:rsidRDefault="005D11B4" w:rsidP="00BD7FB6">
      <w:pPr>
        <w:pStyle w:val="a3"/>
        <w:ind w:firstLine="708"/>
      </w:pPr>
      <w:r w:rsidRPr="005D11B4">
        <w:rPr>
          <w:rFonts w:eastAsiaTheme="minorEastAsia"/>
        </w:rPr>
        <w:t>Где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раст</m:t>
            </m:r>
          </m:sub>
        </m:sSub>
      </m:oMath>
      <w:r>
        <w:rPr>
          <w:rFonts w:eastAsiaTheme="minorEastAsia"/>
        </w:rPr>
        <w:t xml:space="preserve"> -  снижения уровня шума из-за расстояния,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=40</m:t>
        </m:r>
      </m:oMath>
      <w:r w:rsidRPr="00901FCD">
        <w:rPr>
          <w:rFonts w:eastAsiaTheme="minorEastAsia"/>
        </w:rPr>
        <w:t xml:space="preserve"> – </w:t>
      </w:r>
      <w:r>
        <w:rPr>
          <w:rFonts w:eastAsiaTheme="minorEastAsia"/>
        </w:rPr>
        <w:t>постоянная, зависящая от размеров и формы звукоизолирующей перегородки,</w:t>
      </w:r>
      <w:r w:rsidRPr="005D11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=200 м</m:t>
        </m:r>
      </m:oMath>
      <w:r w:rsidRPr="005D11B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D11B4">
        <w:rPr>
          <w:rFonts w:eastAsiaTheme="minorEastAsia"/>
        </w:rPr>
        <w:t xml:space="preserve"> р</w:t>
      </w:r>
      <w:r>
        <w:rPr>
          <w:rFonts w:eastAsiaTheme="minorEastAsia"/>
        </w:rPr>
        <w:t xml:space="preserve">асстояние между кабиной и источником шума,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=1м</m:t>
        </m:r>
      </m:oMath>
      <w:r>
        <w:rPr>
          <w:rFonts w:eastAsiaTheme="minorEastAsia"/>
        </w:rPr>
        <w:t xml:space="preserve"> – расстояние замера уровня шума от источника,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– поверхностная плотность железобетонной стены</w:t>
      </w:r>
      <w:r w:rsidR="001B3D8D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7D1E2506" w14:textId="577FE889" w:rsidR="00865C3A" w:rsidRDefault="00865C3A" w:rsidP="00BD7FB6">
      <w:pPr>
        <w:pStyle w:val="a3"/>
        <w:ind w:firstLine="708"/>
      </w:pPr>
      <w:r>
        <w:t>В таком случае получим снижения уровня шума, приведенные в таблице</w:t>
      </w:r>
    </w:p>
    <w:p w14:paraId="1757E2CA" w14:textId="11A96466" w:rsidR="00865C3A" w:rsidRDefault="00865C3A" w:rsidP="00BD7FB6">
      <w:pPr>
        <w:pStyle w:val="a3"/>
        <w:ind w:firstLine="708"/>
      </w:pPr>
      <w:r>
        <w:t>Таблица</w:t>
      </w:r>
      <w:r w:rsidR="005D11B4">
        <w:t xml:space="preserve"> 5.2.3 </w:t>
      </w:r>
      <w:r w:rsidR="009E6FBA">
        <w:t>–</w:t>
      </w:r>
      <w:r w:rsidR="005D11B4">
        <w:t xml:space="preserve"> </w:t>
      </w:r>
      <w:r w:rsidR="009E6FBA">
        <w:t>Результаты снижения уровня шума для 1 случая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1"/>
        <w:gridCol w:w="937"/>
        <w:gridCol w:w="986"/>
        <w:gridCol w:w="986"/>
        <w:gridCol w:w="991"/>
        <w:gridCol w:w="986"/>
        <w:gridCol w:w="996"/>
        <w:gridCol w:w="996"/>
        <w:gridCol w:w="986"/>
      </w:tblGrid>
      <w:tr w:rsidR="00865C3A" w14:paraId="175CD92B" w14:textId="77777777" w:rsidTr="00865C3A">
        <w:tc>
          <w:tcPr>
            <w:tcW w:w="1505" w:type="dxa"/>
          </w:tcPr>
          <w:p w14:paraId="78EAD2BC" w14:textId="77777777" w:rsidR="00865C3A" w:rsidRDefault="00B74ED5" w:rsidP="008F3B5B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 Гц</m:t>
                </m:r>
              </m:oMath>
            </m:oMathPara>
          </w:p>
        </w:tc>
        <w:tc>
          <w:tcPr>
            <w:tcW w:w="946" w:type="dxa"/>
          </w:tcPr>
          <w:p w14:paraId="63A36736" w14:textId="77777777" w:rsidR="00865C3A" w:rsidRDefault="00865C3A" w:rsidP="008F3B5B">
            <w:pPr>
              <w:pStyle w:val="a3"/>
            </w:pPr>
            <w:r>
              <w:t>63</w:t>
            </w:r>
          </w:p>
        </w:tc>
        <w:tc>
          <w:tcPr>
            <w:tcW w:w="950" w:type="dxa"/>
          </w:tcPr>
          <w:p w14:paraId="0EBB78A2" w14:textId="77777777" w:rsidR="00865C3A" w:rsidRDefault="00865C3A" w:rsidP="008F3B5B">
            <w:pPr>
              <w:pStyle w:val="a3"/>
            </w:pPr>
            <w:r>
              <w:t>125</w:t>
            </w:r>
          </w:p>
        </w:tc>
        <w:tc>
          <w:tcPr>
            <w:tcW w:w="986" w:type="dxa"/>
          </w:tcPr>
          <w:p w14:paraId="490F958D" w14:textId="77777777" w:rsidR="00865C3A" w:rsidRDefault="00865C3A" w:rsidP="008F3B5B">
            <w:pPr>
              <w:pStyle w:val="a3"/>
            </w:pPr>
            <w:r>
              <w:t>250</w:t>
            </w:r>
          </w:p>
        </w:tc>
        <w:tc>
          <w:tcPr>
            <w:tcW w:w="992" w:type="dxa"/>
          </w:tcPr>
          <w:p w14:paraId="75E90CA0" w14:textId="77777777" w:rsidR="00865C3A" w:rsidRDefault="00865C3A" w:rsidP="008F3B5B">
            <w:pPr>
              <w:pStyle w:val="a3"/>
            </w:pPr>
            <w:r>
              <w:t>500</w:t>
            </w:r>
          </w:p>
        </w:tc>
        <w:tc>
          <w:tcPr>
            <w:tcW w:w="986" w:type="dxa"/>
          </w:tcPr>
          <w:p w14:paraId="08963E21" w14:textId="77777777" w:rsidR="00865C3A" w:rsidRDefault="00865C3A" w:rsidP="008F3B5B">
            <w:pPr>
              <w:pStyle w:val="a3"/>
            </w:pPr>
            <w:r>
              <w:t>1000</w:t>
            </w:r>
          </w:p>
        </w:tc>
        <w:tc>
          <w:tcPr>
            <w:tcW w:w="997" w:type="dxa"/>
          </w:tcPr>
          <w:p w14:paraId="06DA2FF7" w14:textId="77777777" w:rsidR="00865C3A" w:rsidRDefault="00865C3A" w:rsidP="008F3B5B">
            <w:pPr>
              <w:pStyle w:val="a3"/>
            </w:pPr>
            <w:r>
              <w:t>2000</w:t>
            </w:r>
          </w:p>
        </w:tc>
        <w:tc>
          <w:tcPr>
            <w:tcW w:w="997" w:type="dxa"/>
          </w:tcPr>
          <w:p w14:paraId="7B6EBE24" w14:textId="77777777" w:rsidR="00865C3A" w:rsidRDefault="00865C3A" w:rsidP="008F3B5B">
            <w:pPr>
              <w:pStyle w:val="a3"/>
            </w:pPr>
            <w:r>
              <w:t>4000</w:t>
            </w:r>
          </w:p>
        </w:tc>
        <w:tc>
          <w:tcPr>
            <w:tcW w:w="986" w:type="dxa"/>
          </w:tcPr>
          <w:p w14:paraId="628159BF" w14:textId="77777777" w:rsidR="00865C3A" w:rsidRDefault="00865C3A" w:rsidP="008F3B5B">
            <w:pPr>
              <w:pStyle w:val="a3"/>
            </w:pPr>
            <w:r>
              <w:t>8000</w:t>
            </w:r>
          </w:p>
        </w:tc>
      </w:tr>
      <w:tr w:rsidR="009E6FBA" w:rsidRPr="0006402E" w14:paraId="4D2DB186" w14:textId="77777777" w:rsidTr="00D33A25">
        <w:tc>
          <w:tcPr>
            <w:tcW w:w="1505" w:type="dxa"/>
          </w:tcPr>
          <w:p w14:paraId="600405DC" w14:textId="709746ED" w:rsidR="00F23CCF" w:rsidRDefault="00B74ED5" w:rsidP="00F23CCF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сн</m:t>
                    </m:r>
                  </m:sub>
                </m:sSub>
                <m:r>
                  <w:rPr>
                    <w:rFonts w:ascii="Cambria Math" w:hAnsi="Cambria Math"/>
                  </w:rPr>
                  <m:t>, дБ</m:t>
                </m:r>
              </m:oMath>
            </m:oMathPara>
          </w:p>
        </w:tc>
        <w:tc>
          <w:tcPr>
            <w:tcW w:w="946" w:type="dxa"/>
            <w:vAlign w:val="bottom"/>
          </w:tcPr>
          <w:p w14:paraId="1561AE74" w14:textId="65744B26" w:rsidR="00F23CCF" w:rsidRPr="00F23CCF" w:rsidRDefault="00F23CCF" w:rsidP="00F23CCF">
            <w:pPr>
              <w:pStyle w:val="a3"/>
            </w:pPr>
            <w:r>
              <w:t>99,</w:t>
            </w:r>
            <w:r w:rsidRPr="00F23CCF">
              <w:t>51</w:t>
            </w:r>
          </w:p>
        </w:tc>
        <w:tc>
          <w:tcPr>
            <w:tcW w:w="950" w:type="dxa"/>
            <w:vAlign w:val="bottom"/>
          </w:tcPr>
          <w:p w14:paraId="5F6E5056" w14:textId="2E621D60" w:rsidR="00F23CCF" w:rsidRPr="00F23CCF" w:rsidRDefault="00F23CCF" w:rsidP="00F23CCF">
            <w:pPr>
              <w:pStyle w:val="a3"/>
            </w:pPr>
            <w:r w:rsidRPr="00F23CCF">
              <w:t>105</w:t>
            </w:r>
            <w:r>
              <w:t>,</w:t>
            </w:r>
            <w:r w:rsidRPr="00F23CCF">
              <w:t>46</w:t>
            </w:r>
          </w:p>
        </w:tc>
        <w:tc>
          <w:tcPr>
            <w:tcW w:w="986" w:type="dxa"/>
            <w:vAlign w:val="bottom"/>
          </w:tcPr>
          <w:p w14:paraId="260CD5ED" w14:textId="65DEEF0A" w:rsidR="00F23CCF" w:rsidRPr="00F23CCF" w:rsidRDefault="00F23CCF" w:rsidP="00F23CCF">
            <w:pPr>
              <w:pStyle w:val="a3"/>
            </w:pPr>
            <w:r>
              <w:t>111,</w:t>
            </w:r>
            <w:r w:rsidRPr="00F23CCF">
              <w:t>48</w:t>
            </w:r>
          </w:p>
        </w:tc>
        <w:tc>
          <w:tcPr>
            <w:tcW w:w="992" w:type="dxa"/>
            <w:vAlign w:val="bottom"/>
          </w:tcPr>
          <w:p w14:paraId="5577A10A" w14:textId="694FAC42" w:rsidR="00F23CCF" w:rsidRPr="00F23CCF" w:rsidRDefault="00F23CCF" w:rsidP="00F23CCF">
            <w:pPr>
              <w:pStyle w:val="a3"/>
            </w:pPr>
            <w:r>
              <w:t>117,</w:t>
            </w:r>
            <w:r w:rsidRPr="00F23CCF">
              <w:t>50</w:t>
            </w:r>
          </w:p>
        </w:tc>
        <w:tc>
          <w:tcPr>
            <w:tcW w:w="986" w:type="dxa"/>
            <w:vAlign w:val="bottom"/>
          </w:tcPr>
          <w:p w14:paraId="6969E275" w14:textId="278B20B2" w:rsidR="00F23CCF" w:rsidRPr="00F23CCF" w:rsidRDefault="00F23CCF" w:rsidP="00F23CCF">
            <w:pPr>
              <w:pStyle w:val="a3"/>
            </w:pPr>
            <w:r>
              <w:t>123,</w:t>
            </w:r>
            <w:r w:rsidRPr="00F23CCF">
              <w:t>52</w:t>
            </w:r>
          </w:p>
        </w:tc>
        <w:tc>
          <w:tcPr>
            <w:tcW w:w="997" w:type="dxa"/>
            <w:vAlign w:val="bottom"/>
          </w:tcPr>
          <w:p w14:paraId="1E219CF0" w14:textId="2FF188B3" w:rsidR="00F23CCF" w:rsidRPr="00F23CCF" w:rsidRDefault="00F23CCF" w:rsidP="00F23CCF">
            <w:pPr>
              <w:pStyle w:val="a3"/>
            </w:pPr>
            <w:r>
              <w:t>129,</w:t>
            </w:r>
            <w:r w:rsidRPr="00F23CCF">
              <w:t>54</w:t>
            </w:r>
          </w:p>
        </w:tc>
        <w:tc>
          <w:tcPr>
            <w:tcW w:w="997" w:type="dxa"/>
            <w:vAlign w:val="bottom"/>
          </w:tcPr>
          <w:p w14:paraId="0A8E7563" w14:textId="044CD9DE" w:rsidR="00F23CCF" w:rsidRPr="00F23CCF" w:rsidRDefault="00F23CCF" w:rsidP="00F23CCF">
            <w:pPr>
              <w:pStyle w:val="a3"/>
            </w:pPr>
            <w:r>
              <w:t>135,</w:t>
            </w:r>
            <w:r w:rsidRPr="00F23CCF">
              <w:t>56</w:t>
            </w:r>
          </w:p>
        </w:tc>
        <w:tc>
          <w:tcPr>
            <w:tcW w:w="986" w:type="dxa"/>
            <w:vAlign w:val="bottom"/>
          </w:tcPr>
          <w:p w14:paraId="163A1469" w14:textId="47ADFD61" w:rsidR="00F23CCF" w:rsidRPr="00F23CCF" w:rsidRDefault="00F23CCF" w:rsidP="00F23CCF">
            <w:pPr>
              <w:pStyle w:val="a3"/>
            </w:pPr>
            <w:r>
              <w:t>141,</w:t>
            </w:r>
            <w:r w:rsidRPr="00F23CCF">
              <w:t>58</w:t>
            </w:r>
          </w:p>
        </w:tc>
      </w:tr>
      <w:tr w:rsidR="00331EA5" w14:paraId="3D5CAC2C" w14:textId="77777777" w:rsidTr="00F856EE">
        <w:tc>
          <w:tcPr>
            <w:tcW w:w="1505" w:type="dxa"/>
          </w:tcPr>
          <w:p w14:paraId="6D00300D" w14:textId="574A6D86" w:rsidR="00331EA5" w:rsidRDefault="00B74ED5" w:rsidP="009E6FBA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треб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,дБ</m:t>
                </m:r>
              </m:oMath>
            </m:oMathPara>
          </w:p>
        </w:tc>
        <w:tc>
          <w:tcPr>
            <w:tcW w:w="946" w:type="dxa"/>
            <w:vAlign w:val="center"/>
          </w:tcPr>
          <w:p w14:paraId="3B4062C7" w14:textId="62600F94" w:rsidR="00331EA5" w:rsidRDefault="00331EA5" w:rsidP="00331EA5">
            <w:pPr>
              <w:pStyle w:val="a3"/>
            </w:pPr>
            <w:r>
              <w:rPr>
                <w:color w:val="000000"/>
                <w:szCs w:val="28"/>
              </w:rPr>
              <w:t>42</w:t>
            </w:r>
          </w:p>
        </w:tc>
        <w:tc>
          <w:tcPr>
            <w:tcW w:w="950" w:type="dxa"/>
            <w:vAlign w:val="center"/>
          </w:tcPr>
          <w:p w14:paraId="301A301B" w14:textId="0443B407" w:rsidR="00331EA5" w:rsidRDefault="00331EA5" w:rsidP="00331EA5">
            <w:pPr>
              <w:pStyle w:val="a3"/>
            </w:pPr>
            <w:r>
              <w:rPr>
                <w:color w:val="000000"/>
                <w:szCs w:val="28"/>
              </w:rPr>
              <w:t>53</w:t>
            </w:r>
          </w:p>
        </w:tc>
        <w:tc>
          <w:tcPr>
            <w:tcW w:w="986" w:type="dxa"/>
            <w:vAlign w:val="center"/>
          </w:tcPr>
          <w:p w14:paraId="77B43E0B" w14:textId="18F7D83E" w:rsidR="00331EA5" w:rsidRDefault="00331EA5" w:rsidP="00331EA5">
            <w:pPr>
              <w:pStyle w:val="a3"/>
            </w:pPr>
            <w:r>
              <w:rPr>
                <w:color w:val="000000"/>
                <w:szCs w:val="28"/>
              </w:rPr>
              <w:t>63</w:t>
            </w:r>
          </w:p>
        </w:tc>
        <w:tc>
          <w:tcPr>
            <w:tcW w:w="992" w:type="dxa"/>
            <w:vAlign w:val="center"/>
          </w:tcPr>
          <w:p w14:paraId="58BD1BB7" w14:textId="760D6A4B" w:rsidR="00331EA5" w:rsidRDefault="00331EA5" w:rsidP="00331EA5">
            <w:pPr>
              <w:pStyle w:val="a3"/>
            </w:pPr>
            <w:r>
              <w:rPr>
                <w:color w:val="000000"/>
                <w:szCs w:val="28"/>
              </w:rPr>
              <w:t>74.5</w:t>
            </w:r>
          </w:p>
        </w:tc>
        <w:tc>
          <w:tcPr>
            <w:tcW w:w="986" w:type="dxa"/>
            <w:vAlign w:val="center"/>
          </w:tcPr>
          <w:p w14:paraId="69DD0EB9" w14:textId="3973F425" w:rsidR="00331EA5" w:rsidRDefault="00331EA5" w:rsidP="00331EA5">
            <w:pPr>
              <w:pStyle w:val="a3"/>
            </w:pPr>
            <w:r>
              <w:rPr>
                <w:color w:val="000000"/>
                <w:szCs w:val="28"/>
              </w:rPr>
              <w:t>80</w:t>
            </w:r>
          </w:p>
        </w:tc>
        <w:tc>
          <w:tcPr>
            <w:tcW w:w="997" w:type="dxa"/>
            <w:vAlign w:val="center"/>
          </w:tcPr>
          <w:p w14:paraId="608AC7D7" w14:textId="6FFB54ED" w:rsidR="00331EA5" w:rsidRDefault="00331EA5" w:rsidP="00331EA5">
            <w:pPr>
              <w:pStyle w:val="a3"/>
            </w:pPr>
            <w:r>
              <w:rPr>
                <w:color w:val="000000"/>
                <w:szCs w:val="28"/>
              </w:rPr>
              <w:t>80.5</w:t>
            </w:r>
          </w:p>
        </w:tc>
        <w:tc>
          <w:tcPr>
            <w:tcW w:w="997" w:type="dxa"/>
            <w:vAlign w:val="center"/>
          </w:tcPr>
          <w:p w14:paraId="47216DE1" w14:textId="55447CBC" w:rsidR="00331EA5" w:rsidRDefault="00331EA5" w:rsidP="00331EA5">
            <w:pPr>
              <w:pStyle w:val="a3"/>
            </w:pPr>
            <w:r>
              <w:rPr>
                <w:color w:val="000000"/>
                <w:szCs w:val="28"/>
              </w:rPr>
              <w:t>80.5</w:t>
            </w:r>
          </w:p>
        </w:tc>
        <w:tc>
          <w:tcPr>
            <w:tcW w:w="986" w:type="dxa"/>
            <w:vAlign w:val="center"/>
          </w:tcPr>
          <w:p w14:paraId="6881245B" w14:textId="184DE1F2" w:rsidR="00331EA5" w:rsidRDefault="00331EA5" w:rsidP="00331EA5">
            <w:pPr>
              <w:pStyle w:val="a3"/>
            </w:pPr>
            <w:r>
              <w:rPr>
                <w:color w:val="000000"/>
                <w:szCs w:val="28"/>
              </w:rPr>
              <w:t>78</w:t>
            </w:r>
          </w:p>
        </w:tc>
      </w:tr>
    </w:tbl>
    <w:p w14:paraId="0E89C4E1" w14:textId="57E5C0B6" w:rsidR="00865C3A" w:rsidRDefault="00865C3A" w:rsidP="00BD7FB6">
      <w:pPr>
        <w:pStyle w:val="a3"/>
        <w:ind w:firstLine="708"/>
      </w:pPr>
    </w:p>
    <w:p w14:paraId="241EEA4C" w14:textId="410D314B" w:rsidR="00865C3A" w:rsidRDefault="009E6FBA" w:rsidP="00BD7FB6">
      <w:pPr>
        <w:pStyle w:val="a3"/>
        <w:ind w:firstLine="708"/>
        <w:rPr>
          <w:rFonts w:eastAsiaTheme="minorEastAsia"/>
        </w:rPr>
      </w:pPr>
      <w:r>
        <w:t>Из таблицы 5.2.3 видно, что д</w:t>
      </w:r>
      <w:r w:rsidR="00865C3A">
        <w:t xml:space="preserve">ля каждой частоты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</m:oMath>
      <w:r w:rsidR="00865C3A">
        <w:rPr>
          <w:rFonts w:eastAsiaTheme="minorEastAsia"/>
        </w:rPr>
        <w:t xml:space="preserve"> выше чем требуемый уровень снижения, значит нормы звукоизоляции будут соблюдены</w:t>
      </w:r>
    </w:p>
    <w:p w14:paraId="584B3B36" w14:textId="0D48260F" w:rsidR="00865C3A" w:rsidRDefault="00E47A01" w:rsidP="00BD7FB6">
      <w:pPr>
        <w:pStyle w:val="a3"/>
        <w:ind w:firstLine="708"/>
        <w:rPr>
          <w:rFonts w:eastAsiaTheme="minorEastAsia"/>
        </w:rPr>
      </w:pPr>
      <w:r>
        <w:rPr>
          <w:rFonts w:eastAsiaTheme="minorEastAsia"/>
        </w:rPr>
        <w:t>Для второго случая, экипаж находится в кабине самоходной пусковой установки. Расстояние от источника звука принято равным 2 метрам, а толщина корпуса самоходной установки 10 мм</w:t>
      </w:r>
    </w:p>
    <w:p w14:paraId="24A10F6F" w14:textId="7DA70276" w:rsidR="009E6FBA" w:rsidRDefault="000E268A" w:rsidP="00BD7FB6">
      <w:pPr>
        <w:pStyle w:val="a3"/>
        <w:ind w:firstLine="708"/>
      </w:pPr>
      <w:r>
        <w:t>Из таблицы 5.2.4 в</w:t>
      </w:r>
      <w:r w:rsidR="00DD0BCE">
        <w:t>идно, что уровень снижения шума ниже, чем требуемый, даже с использование</w:t>
      </w:r>
      <w:r w:rsidR="009E6FBA">
        <w:t>м</w:t>
      </w:r>
      <w:r w:rsidR="00DD0BCE">
        <w:t xml:space="preserve"> СИЗ органов слуха. Следовательно, нужно обеспечить кабину самоходной пусковой установки</w:t>
      </w:r>
      <w:r w:rsidR="00925592">
        <w:t xml:space="preserve"> дополнительной</w:t>
      </w:r>
      <w:r w:rsidR="00DD0BCE">
        <w:t xml:space="preserve"> звукоизоляцией</w:t>
      </w:r>
      <w:r w:rsidR="00925592">
        <w:t xml:space="preserve"> с уровнем снижения шума</w:t>
      </w:r>
      <w:r w:rsidR="009E6FBA">
        <w:t>.</w:t>
      </w:r>
    </w:p>
    <w:p w14:paraId="0B16525F" w14:textId="77777777" w:rsidR="000E268A" w:rsidRDefault="000E268A" w:rsidP="00BD7FB6">
      <w:pPr>
        <w:pStyle w:val="a3"/>
        <w:ind w:firstLine="708"/>
      </w:pPr>
    </w:p>
    <w:p w14:paraId="359C6AC7" w14:textId="77777777" w:rsidR="000E268A" w:rsidRDefault="000E268A" w:rsidP="000E268A">
      <w:pPr>
        <w:pStyle w:val="a3"/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Таблица 5.2.4. – Результаты снижения уровня шума для 2 случая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5"/>
        <w:gridCol w:w="864"/>
        <w:gridCol w:w="850"/>
        <w:gridCol w:w="858"/>
        <w:gridCol w:w="990"/>
        <w:gridCol w:w="984"/>
        <w:gridCol w:w="995"/>
        <w:gridCol w:w="995"/>
        <w:gridCol w:w="984"/>
      </w:tblGrid>
      <w:tr w:rsidR="000E268A" w14:paraId="2E221A8C" w14:textId="77777777" w:rsidTr="00F617DF">
        <w:tc>
          <w:tcPr>
            <w:tcW w:w="1825" w:type="dxa"/>
          </w:tcPr>
          <w:p w14:paraId="4CB927B0" w14:textId="77777777" w:rsidR="000E268A" w:rsidRDefault="000E268A" w:rsidP="00F617DF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 Гц</m:t>
                </m:r>
              </m:oMath>
            </m:oMathPara>
          </w:p>
        </w:tc>
        <w:tc>
          <w:tcPr>
            <w:tcW w:w="864" w:type="dxa"/>
          </w:tcPr>
          <w:p w14:paraId="76346B24" w14:textId="77777777" w:rsidR="000E268A" w:rsidRDefault="000E268A" w:rsidP="00F617DF">
            <w:pPr>
              <w:pStyle w:val="a3"/>
            </w:pPr>
            <w:r>
              <w:t>63</w:t>
            </w:r>
          </w:p>
        </w:tc>
        <w:tc>
          <w:tcPr>
            <w:tcW w:w="850" w:type="dxa"/>
          </w:tcPr>
          <w:p w14:paraId="53FF4CF9" w14:textId="77777777" w:rsidR="000E268A" w:rsidRDefault="000E268A" w:rsidP="00F617DF">
            <w:pPr>
              <w:pStyle w:val="a3"/>
            </w:pPr>
            <w:r>
              <w:t>125</w:t>
            </w:r>
          </w:p>
        </w:tc>
        <w:tc>
          <w:tcPr>
            <w:tcW w:w="858" w:type="dxa"/>
          </w:tcPr>
          <w:p w14:paraId="0438C0E8" w14:textId="77777777" w:rsidR="000E268A" w:rsidRDefault="000E268A" w:rsidP="00F617DF">
            <w:pPr>
              <w:pStyle w:val="a3"/>
            </w:pPr>
            <w:r>
              <w:t>250</w:t>
            </w:r>
          </w:p>
        </w:tc>
        <w:tc>
          <w:tcPr>
            <w:tcW w:w="990" w:type="dxa"/>
          </w:tcPr>
          <w:p w14:paraId="104D2C99" w14:textId="77777777" w:rsidR="000E268A" w:rsidRDefault="000E268A" w:rsidP="00F617DF">
            <w:pPr>
              <w:pStyle w:val="a3"/>
            </w:pPr>
            <w:r>
              <w:t>500</w:t>
            </w:r>
          </w:p>
        </w:tc>
        <w:tc>
          <w:tcPr>
            <w:tcW w:w="984" w:type="dxa"/>
          </w:tcPr>
          <w:p w14:paraId="7BB4926A" w14:textId="77777777" w:rsidR="000E268A" w:rsidRDefault="000E268A" w:rsidP="00F617DF">
            <w:pPr>
              <w:pStyle w:val="a3"/>
            </w:pPr>
            <w:r>
              <w:t>1000</w:t>
            </w:r>
          </w:p>
        </w:tc>
        <w:tc>
          <w:tcPr>
            <w:tcW w:w="995" w:type="dxa"/>
          </w:tcPr>
          <w:p w14:paraId="5961EC7C" w14:textId="77777777" w:rsidR="000E268A" w:rsidRDefault="000E268A" w:rsidP="00F617DF">
            <w:pPr>
              <w:pStyle w:val="a3"/>
            </w:pPr>
            <w:r>
              <w:t>2000</w:t>
            </w:r>
          </w:p>
        </w:tc>
        <w:tc>
          <w:tcPr>
            <w:tcW w:w="995" w:type="dxa"/>
          </w:tcPr>
          <w:p w14:paraId="1CBA342E" w14:textId="77777777" w:rsidR="000E268A" w:rsidRDefault="000E268A" w:rsidP="00F617DF">
            <w:pPr>
              <w:pStyle w:val="a3"/>
            </w:pPr>
            <w:r>
              <w:t>4000</w:t>
            </w:r>
          </w:p>
        </w:tc>
        <w:tc>
          <w:tcPr>
            <w:tcW w:w="984" w:type="dxa"/>
          </w:tcPr>
          <w:p w14:paraId="2E70881A" w14:textId="77777777" w:rsidR="000E268A" w:rsidRDefault="000E268A" w:rsidP="00F617DF">
            <w:pPr>
              <w:pStyle w:val="a3"/>
            </w:pPr>
            <w:r>
              <w:t>8000</w:t>
            </w:r>
          </w:p>
        </w:tc>
      </w:tr>
      <w:tr w:rsidR="000E268A" w:rsidRPr="0006402E" w14:paraId="793E44A7" w14:textId="77777777" w:rsidTr="00F617DF">
        <w:tc>
          <w:tcPr>
            <w:tcW w:w="1825" w:type="dxa"/>
          </w:tcPr>
          <w:p w14:paraId="6D61432D" w14:textId="77777777" w:rsidR="000E268A" w:rsidRDefault="000E268A" w:rsidP="00F617DF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сн</m:t>
                    </m:r>
                  </m:sub>
                </m:sSub>
                <m:r>
                  <w:rPr>
                    <w:rFonts w:ascii="Cambria Math" w:hAnsi="Cambria Math"/>
                  </w:rPr>
                  <m:t>, дБ</m:t>
                </m:r>
              </m:oMath>
            </m:oMathPara>
          </w:p>
        </w:tc>
        <w:tc>
          <w:tcPr>
            <w:tcW w:w="864" w:type="dxa"/>
          </w:tcPr>
          <w:p w14:paraId="475AF8C7" w14:textId="77777777" w:rsidR="000E268A" w:rsidRPr="001F58AD" w:rsidRDefault="000E268A" w:rsidP="00F617DF">
            <w:pPr>
              <w:pStyle w:val="a3"/>
            </w:pPr>
            <w:r>
              <w:t>7,</w:t>
            </w:r>
            <w:r w:rsidRPr="00651581">
              <w:t>16</w:t>
            </w:r>
          </w:p>
        </w:tc>
        <w:tc>
          <w:tcPr>
            <w:tcW w:w="850" w:type="dxa"/>
          </w:tcPr>
          <w:p w14:paraId="0806C5A2" w14:textId="77777777" w:rsidR="000E268A" w:rsidRPr="001F58AD" w:rsidRDefault="000E268A" w:rsidP="00F617DF">
            <w:pPr>
              <w:pStyle w:val="a3"/>
            </w:pPr>
            <w:r>
              <w:t>8,</w:t>
            </w:r>
            <w:r w:rsidRPr="00651581">
              <w:t>07</w:t>
            </w:r>
          </w:p>
        </w:tc>
        <w:tc>
          <w:tcPr>
            <w:tcW w:w="858" w:type="dxa"/>
          </w:tcPr>
          <w:p w14:paraId="06D89B71" w14:textId="77777777" w:rsidR="000E268A" w:rsidRPr="001F58AD" w:rsidRDefault="000E268A" w:rsidP="00F617DF">
            <w:pPr>
              <w:pStyle w:val="a3"/>
            </w:pPr>
            <w:r>
              <w:t>9,</w:t>
            </w:r>
            <w:r w:rsidRPr="00651581">
              <w:t>10</w:t>
            </w:r>
          </w:p>
        </w:tc>
        <w:tc>
          <w:tcPr>
            <w:tcW w:w="990" w:type="dxa"/>
          </w:tcPr>
          <w:p w14:paraId="3ECFEB62" w14:textId="77777777" w:rsidR="000E268A" w:rsidRPr="001F58AD" w:rsidRDefault="000E268A" w:rsidP="00F617DF">
            <w:pPr>
              <w:pStyle w:val="a3"/>
            </w:pPr>
            <w:r>
              <w:t>15,</w:t>
            </w:r>
            <w:r w:rsidRPr="00651581">
              <w:t>12</w:t>
            </w:r>
          </w:p>
        </w:tc>
        <w:tc>
          <w:tcPr>
            <w:tcW w:w="984" w:type="dxa"/>
          </w:tcPr>
          <w:p w14:paraId="4985E452" w14:textId="77777777" w:rsidR="000E268A" w:rsidRPr="001F58AD" w:rsidRDefault="000E268A" w:rsidP="00F617DF">
            <w:pPr>
              <w:pStyle w:val="a3"/>
            </w:pPr>
            <w:r>
              <w:t>21,</w:t>
            </w:r>
            <w:r w:rsidRPr="00651581">
              <w:t>14</w:t>
            </w:r>
          </w:p>
        </w:tc>
        <w:tc>
          <w:tcPr>
            <w:tcW w:w="995" w:type="dxa"/>
          </w:tcPr>
          <w:p w14:paraId="3094EFD6" w14:textId="77777777" w:rsidR="000E268A" w:rsidRPr="001F58AD" w:rsidRDefault="000E268A" w:rsidP="00F617DF">
            <w:pPr>
              <w:pStyle w:val="a3"/>
            </w:pPr>
            <w:r>
              <w:t>27,</w:t>
            </w:r>
            <w:r w:rsidRPr="00651581">
              <w:t>16</w:t>
            </w:r>
          </w:p>
        </w:tc>
        <w:tc>
          <w:tcPr>
            <w:tcW w:w="995" w:type="dxa"/>
          </w:tcPr>
          <w:p w14:paraId="5CC1BA9C" w14:textId="77777777" w:rsidR="000E268A" w:rsidRPr="001F58AD" w:rsidRDefault="000E268A" w:rsidP="00F617DF">
            <w:pPr>
              <w:pStyle w:val="a3"/>
            </w:pPr>
            <w:r>
              <w:t>33,</w:t>
            </w:r>
            <w:r w:rsidRPr="00651581">
              <w:t>18</w:t>
            </w:r>
          </w:p>
        </w:tc>
        <w:tc>
          <w:tcPr>
            <w:tcW w:w="984" w:type="dxa"/>
          </w:tcPr>
          <w:p w14:paraId="0F20D2A9" w14:textId="77777777" w:rsidR="000E268A" w:rsidRPr="001F58AD" w:rsidRDefault="000E268A" w:rsidP="00F617DF">
            <w:pPr>
              <w:pStyle w:val="a3"/>
            </w:pPr>
            <w:r>
              <w:t>39,</w:t>
            </w:r>
            <w:r w:rsidRPr="00651581">
              <w:t>20</w:t>
            </w:r>
          </w:p>
        </w:tc>
      </w:tr>
      <w:tr w:rsidR="000E268A" w14:paraId="4E095D19" w14:textId="77777777" w:rsidTr="00F617DF">
        <w:tc>
          <w:tcPr>
            <w:tcW w:w="1825" w:type="dxa"/>
          </w:tcPr>
          <w:p w14:paraId="64DCC1C3" w14:textId="77777777" w:rsidR="000E268A" w:rsidRDefault="000E268A" w:rsidP="00F617DF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треб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,Дб</m:t>
                </m:r>
              </m:oMath>
            </m:oMathPara>
          </w:p>
        </w:tc>
        <w:tc>
          <w:tcPr>
            <w:tcW w:w="864" w:type="dxa"/>
            <w:vAlign w:val="center"/>
          </w:tcPr>
          <w:p w14:paraId="040242DD" w14:textId="77777777" w:rsidR="000E268A" w:rsidRDefault="000E268A" w:rsidP="00F617DF">
            <w:pPr>
              <w:pStyle w:val="a3"/>
            </w:pPr>
            <w:r w:rsidRPr="001F58AD">
              <w:t>42</w:t>
            </w:r>
          </w:p>
        </w:tc>
        <w:tc>
          <w:tcPr>
            <w:tcW w:w="850" w:type="dxa"/>
            <w:vAlign w:val="center"/>
          </w:tcPr>
          <w:p w14:paraId="65CBD6C6" w14:textId="77777777" w:rsidR="000E268A" w:rsidRDefault="000E268A" w:rsidP="00F617DF">
            <w:pPr>
              <w:pStyle w:val="a3"/>
            </w:pPr>
            <w:r w:rsidRPr="001F58AD">
              <w:t>53</w:t>
            </w:r>
          </w:p>
        </w:tc>
        <w:tc>
          <w:tcPr>
            <w:tcW w:w="858" w:type="dxa"/>
            <w:vAlign w:val="center"/>
          </w:tcPr>
          <w:p w14:paraId="57FB5680" w14:textId="77777777" w:rsidR="000E268A" w:rsidRDefault="000E268A" w:rsidP="00F617DF">
            <w:pPr>
              <w:pStyle w:val="a3"/>
            </w:pPr>
            <w:r w:rsidRPr="001F58AD">
              <w:t>63</w:t>
            </w:r>
          </w:p>
        </w:tc>
        <w:tc>
          <w:tcPr>
            <w:tcW w:w="990" w:type="dxa"/>
            <w:vAlign w:val="center"/>
          </w:tcPr>
          <w:p w14:paraId="60324DE8" w14:textId="77777777" w:rsidR="000E268A" w:rsidRDefault="000E268A" w:rsidP="00F617DF">
            <w:pPr>
              <w:pStyle w:val="a3"/>
            </w:pPr>
            <w:r w:rsidRPr="001F58AD">
              <w:t>74,5</w:t>
            </w:r>
          </w:p>
        </w:tc>
        <w:tc>
          <w:tcPr>
            <w:tcW w:w="984" w:type="dxa"/>
            <w:vAlign w:val="center"/>
          </w:tcPr>
          <w:p w14:paraId="04E39C38" w14:textId="77777777" w:rsidR="000E268A" w:rsidRDefault="000E268A" w:rsidP="00F617DF">
            <w:pPr>
              <w:pStyle w:val="a3"/>
            </w:pPr>
            <w:r w:rsidRPr="001F58AD">
              <w:t>80</w:t>
            </w:r>
          </w:p>
        </w:tc>
        <w:tc>
          <w:tcPr>
            <w:tcW w:w="995" w:type="dxa"/>
            <w:vAlign w:val="center"/>
          </w:tcPr>
          <w:p w14:paraId="2AECC924" w14:textId="77777777" w:rsidR="000E268A" w:rsidRDefault="000E268A" w:rsidP="00F617DF">
            <w:pPr>
              <w:pStyle w:val="a3"/>
            </w:pPr>
            <w:r w:rsidRPr="001F58AD">
              <w:t>80,5</w:t>
            </w:r>
          </w:p>
        </w:tc>
        <w:tc>
          <w:tcPr>
            <w:tcW w:w="995" w:type="dxa"/>
            <w:vAlign w:val="center"/>
          </w:tcPr>
          <w:p w14:paraId="58ED37C7" w14:textId="77777777" w:rsidR="000E268A" w:rsidRDefault="000E268A" w:rsidP="00F617DF">
            <w:pPr>
              <w:pStyle w:val="a3"/>
            </w:pPr>
            <w:r w:rsidRPr="001F58AD">
              <w:t>80,5</w:t>
            </w:r>
          </w:p>
        </w:tc>
        <w:tc>
          <w:tcPr>
            <w:tcW w:w="984" w:type="dxa"/>
            <w:vAlign w:val="center"/>
          </w:tcPr>
          <w:p w14:paraId="1F81B4FF" w14:textId="77777777" w:rsidR="000E268A" w:rsidRDefault="000E268A" w:rsidP="00F617DF">
            <w:pPr>
              <w:pStyle w:val="a3"/>
            </w:pPr>
            <w:r w:rsidRPr="001F58AD">
              <w:t>78</w:t>
            </w:r>
          </w:p>
        </w:tc>
      </w:tr>
      <w:tr w:rsidR="000E268A" w14:paraId="3EEE4846" w14:textId="77777777" w:rsidTr="00F617DF">
        <w:tc>
          <w:tcPr>
            <w:tcW w:w="1825" w:type="dxa"/>
          </w:tcPr>
          <w:p w14:paraId="58456657" w14:textId="77777777" w:rsidR="000E268A" w:rsidRDefault="000E268A" w:rsidP="00F617DF">
            <w:pPr>
              <w:pStyle w:val="a3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треб СЗ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,Дб</m:t>
                </m:r>
              </m:oMath>
            </m:oMathPara>
          </w:p>
        </w:tc>
        <w:tc>
          <w:tcPr>
            <w:tcW w:w="864" w:type="dxa"/>
            <w:vAlign w:val="bottom"/>
          </w:tcPr>
          <w:p w14:paraId="797404C6" w14:textId="77777777" w:rsidR="000E268A" w:rsidRDefault="000E268A" w:rsidP="00F617DF">
            <w:pPr>
              <w:pStyle w:val="a3"/>
            </w:pPr>
            <w:r w:rsidRPr="00331EA5">
              <w:t>12</w:t>
            </w:r>
          </w:p>
        </w:tc>
        <w:tc>
          <w:tcPr>
            <w:tcW w:w="850" w:type="dxa"/>
            <w:vAlign w:val="bottom"/>
          </w:tcPr>
          <w:p w14:paraId="72E812B8" w14:textId="77777777" w:rsidR="000E268A" w:rsidRDefault="000E268A" w:rsidP="00F617DF">
            <w:pPr>
              <w:pStyle w:val="a3"/>
            </w:pPr>
            <w:r w:rsidRPr="00331EA5">
              <w:t>23</w:t>
            </w:r>
          </w:p>
        </w:tc>
        <w:tc>
          <w:tcPr>
            <w:tcW w:w="858" w:type="dxa"/>
            <w:vAlign w:val="bottom"/>
          </w:tcPr>
          <w:p w14:paraId="4C23012C" w14:textId="77777777" w:rsidR="000E268A" w:rsidRDefault="000E268A" w:rsidP="00F617DF">
            <w:pPr>
              <w:pStyle w:val="a3"/>
            </w:pPr>
            <w:r w:rsidRPr="00331EA5">
              <w:t>33</w:t>
            </w:r>
          </w:p>
        </w:tc>
        <w:tc>
          <w:tcPr>
            <w:tcW w:w="990" w:type="dxa"/>
            <w:vAlign w:val="bottom"/>
          </w:tcPr>
          <w:p w14:paraId="75F0D736" w14:textId="77777777" w:rsidR="000E268A" w:rsidRDefault="000E268A" w:rsidP="00F617DF">
            <w:pPr>
              <w:pStyle w:val="a3"/>
            </w:pPr>
            <w:r>
              <w:t>44,</w:t>
            </w:r>
            <w:r w:rsidRPr="00331EA5">
              <w:t>5</w:t>
            </w:r>
          </w:p>
        </w:tc>
        <w:tc>
          <w:tcPr>
            <w:tcW w:w="984" w:type="dxa"/>
            <w:vAlign w:val="bottom"/>
          </w:tcPr>
          <w:p w14:paraId="337D37D7" w14:textId="77777777" w:rsidR="000E268A" w:rsidRDefault="000E268A" w:rsidP="00F617DF">
            <w:pPr>
              <w:pStyle w:val="a3"/>
            </w:pPr>
            <w:r w:rsidRPr="00331EA5">
              <w:t>50</w:t>
            </w:r>
          </w:p>
        </w:tc>
        <w:tc>
          <w:tcPr>
            <w:tcW w:w="995" w:type="dxa"/>
            <w:vAlign w:val="bottom"/>
          </w:tcPr>
          <w:p w14:paraId="65D40B72" w14:textId="77777777" w:rsidR="000E268A" w:rsidRDefault="000E268A" w:rsidP="00F617DF">
            <w:pPr>
              <w:pStyle w:val="a3"/>
            </w:pPr>
            <w:r w:rsidRPr="00331EA5">
              <w:t>50.5</w:t>
            </w:r>
          </w:p>
        </w:tc>
        <w:tc>
          <w:tcPr>
            <w:tcW w:w="995" w:type="dxa"/>
            <w:vAlign w:val="bottom"/>
          </w:tcPr>
          <w:p w14:paraId="12C7F42D" w14:textId="77777777" w:rsidR="000E268A" w:rsidRDefault="000E268A" w:rsidP="00F617DF">
            <w:pPr>
              <w:pStyle w:val="a3"/>
            </w:pPr>
            <w:r w:rsidRPr="00331EA5">
              <w:t>50</w:t>
            </w:r>
            <w:r>
              <w:t>,</w:t>
            </w:r>
            <w:r w:rsidRPr="00331EA5">
              <w:t>5</w:t>
            </w:r>
          </w:p>
        </w:tc>
        <w:tc>
          <w:tcPr>
            <w:tcW w:w="984" w:type="dxa"/>
            <w:vAlign w:val="bottom"/>
          </w:tcPr>
          <w:p w14:paraId="1BEF1B12" w14:textId="77777777" w:rsidR="000E268A" w:rsidRDefault="000E268A" w:rsidP="00F617DF">
            <w:pPr>
              <w:pStyle w:val="a3"/>
            </w:pPr>
            <w:r w:rsidRPr="00331EA5">
              <w:t>48</w:t>
            </w:r>
          </w:p>
        </w:tc>
      </w:tr>
      <w:tr w:rsidR="000E268A" w14:paraId="692F1E75" w14:textId="77777777" w:rsidTr="00F617DF">
        <w:tc>
          <w:tcPr>
            <w:tcW w:w="1825" w:type="dxa"/>
          </w:tcPr>
          <w:p w14:paraId="56576AE3" w14:textId="77777777" w:rsidR="000E268A" w:rsidRDefault="000E268A" w:rsidP="00F617DF">
            <w:pPr>
              <w:pStyle w:val="a3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треб СЗ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сн</m:t>
                    </m:r>
                  </m:sub>
                </m:sSub>
              </m:oMath>
            </m:oMathPara>
          </w:p>
        </w:tc>
        <w:tc>
          <w:tcPr>
            <w:tcW w:w="864" w:type="dxa"/>
            <w:vAlign w:val="bottom"/>
          </w:tcPr>
          <w:p w14:paraId="72AC6EEA" w14:textId="77777777" w:rsidR="000E268A" w:rsidRDefault="000E268A" w:rsidP="00F617DF">
            <w:pPr>
              <w:pStyle w:val="a3"/>
            </w:pPr>
            <w:r>
              <w:t>4,</w:t>
            </w:r>
            <w:r w:rsidRPr="00331EA5">
              <w:t>84</w:t>
            </w:r>
          </w:p>
        </w:tc>
        <w:tc>
          <w:tcPr>
            <w:tcW w:w="850" w:type="dxa"/>
            <w:vAlign w:val="bottom"/>
          </w:tcPr>
          <w:p w14:paraId="5C27E8CA" w14:textId="77777777" w:rsidR="000E268A" w:rsidRDefault="000E268A" w:rsidP="00F617DF">
            <w:pPr>
              <w:pStyle w:val="a3"/>
            </w:pPr>
            <w:r>
              <w:t>14,</w:t>
            </w:r>
            <w:r w:rsidRPr="00331EA5">
              <w:t>93</w:t>
            </w:r>
          </w:p>
        </w:tc>
        <w:tc>
          <w:tcPr>
            <w:tcW w:w="858" w:type="dxa"/>
            <w:vAlign w:val="bottom"/>
          </w:tcPr>
          <w:p w14:paraId="021A68E0" w14:textId="77777777" w:rsidR="000E268A" w:rsidRDefault="000E268A" w:rsidP="00F617DF">
            <w:pPr>
              <w:pStyle w:val="a3"/>
            </w:pPr>
            <w:r w:rsidRPr="00331EA5">
              <w:t>23</w:t>
            </w:r>
            <w:r>
              <w:t>,</w:t>
            </w:r>
            <w:r w:rsidRPr="00331EA5">
              <w:t>90</w:t>
            </w:r>
          </w:p>
        </w:tc>
        <w:tc>
          <w:tcPr>
            <w:tcW w:w="990" w:type="dxa"/>
            <w:vAlign w:val="bottom"/>
          </w:tcPr>
          <w:p w14:paraId="4A360489" w14:textId="77777777" w:rsidR="000E268A" w:rsidRDefault="000E268A" w:rsidP="00F617DF">
            <w:pPr>
              <w:pStyle w:val="a3"/>
            </w:pPr>
            <w:r w:rsidRPr="00331EA5">
              <w:t>29</w:t>
            </w:r>
            <w:r>
              <w:t>,</w:t>
            </w:r>
            <w:r w:rsidRPr="00331EA5">
              <w:t>38</w:t>
            </w:r>
          </w:p>
        </w:tc>
        <w:tc>
          <w:tcPr>
            <w:tcW w:w="984" w:type="dxa"/>
            <w:vAlign w:val="bottom"/>
          </w:tcPr>
          <w:p w14:paraId="1558C73A" w14:textId="77777777" w:rsidR="000E268A" w:rsidRDefault="000E268A" w:rsidP="00F617DF">
            <w:pPr>
              <w:pStyle w:val="a3"/>
            </w:pPr>
            <w:r w:rsidRPr="00331EA5">
              <w:t>2</w:t>
            </w:r>
            <w:r>
              <w:t>8,</w:t>
            </w:r>
            <w:r w:rsidRPr="00331EA5">
              <w:t>86</w:t>
            </w:r>
          </w:p>
        </w:tc>
        <w:tc>
          <w:tcPr>
            <w:tcW w:w="995" w:type="dxa"/>
            <w:vAlign w:val="bottom"/>
          </w:tcPr>
          <w:p w14:paraId="09DFC32E" w14:textId="77777777" w:rsidR="000E268A" w:rsidRDefault="000E268A" w:rsidP="00F617DF">
            <w:pPr>
              <w:pStyle w:val="a3"/>
            </w:pPr>
            <w:r>
              <w:t>23,</w:t>
            </w:r>
            <w:r w:rsidRPr="00331EA5">
              <w:t>34</w:t>
            </w:r>
          </w:p>
        </w:tc>
        <w:tc>
          <w:tcPr>
            <w:tcW w:w="995" w:type="dxa"/>
            <w:vAlign w:val="bottom"/>
          </w:tcPr>
          <w:p w14:paraId="684F7DA5" w14:textId="77777777" w:rsidR="000E268A" w:rsidRDefault="000E268A" w:rsidP="00F617DF">
            <w:pPr>
              <w:pStyle w:val="a3"/>
            </w:pPr>
            <w:r>
              <w:t>17,</w:t>
            </w:r>
            <w:r w:rsidRPr="00331EA5">
              <w:t>32</w:t>
            </w:r>
          </w:p>
        </w:tc>
        <w:tc>
          <w:tcPr>
            <w:tcW w:w="984" w:type="dxa"/>
            <w:vAlign w:val="bottom"/>
          </w:tcPr>
          <w:p w14:paraId="4C941D26" w14:textId="77777777" w:rsidR="000E268A" w:rsidRDefault="000E268A" w:rsidP="00F617DF">
            <w:pPr>
              <w:pStyle w:val="a3"/>
            </w:pPr>
            <w:r w:rsidRPr="00331EA5">
              <w:t>8</w:t>
            </w:r>
            <w:r>
              <w:t>,</w:t>
            </w:r>
            <w:r w:rsidRPr="00331EA5">
              <w:t>80</w:t>
            </w:r>
          </w:p>
        </w:tc>
      </w:tr>
    </w:tbl>
    <w:p w14:paraId="5F75553D" w14:textId="37398B29" w:rsidR="000E268A" w:rsidRDefault="000E268A" w:rsidP="00BD7FB6">
      <w:pPr>
        <w:pStyle w:val="a3"/>
        <w:ind w:firstLine="708"/>
      </w:pPr>
    </w:p>
    <w:p w14:paraId="150EEF39" w14:textId="77777777" w:rsidR="000E268A" w:rsidRDefault="000E268A" w:rsidP="00BD7FB6">
      <w:pPr>
        <w:pStyle w:val="a3"/>
        <w:ind w:firstLine="708"/>
        <w:rPr>
          <w:rFonts w:eastAsiaTheme="minorEastAsia"/>
        </w:rPr>
      </w:pPr>
      <w:r>
        <w:rPr>
          <w:rFonts w:eastAsiaTheme="minorEastAsia"/>
        </w:rPr>
        <w:t>Из проведенного расчета можно сделать вывод, что при расположении персонала в наблюдательной кабине на удалении 200 метров при проведении огневых испытаний на полигоне дополнительных мер по защите органов слуха предпринимать не нужно.</w:t>
      </w:r>
    </w:p>
    <w:p w14:paraId="1F388A4C" w14:textId="60144D38" w:rsidR="00E47A01" w:rsidRDefault="000E268A" w:rsidP="00BD7FB6">
      <w:pPr>
        <w:pStyle w:val="a3"/>
        <w:ind w:firstLine="708"/>
        <w:rPr>
          <w:rFonts w:eastAsiaTheme="minorEastAsia"/>
        </w:rPr>
      </w:pPr>
      <w:r>
        <w:rPr>
          <w:rFonts w:eastAsiaTheme="minorEastAsia"/>
        </w:rPr>
        <w:t xml:space="preserve"> Однако в случае пуска ракеты на стадии эксплуатации т</w:t>
      </w:r>
      <w:r w:rsidR="00703485">
        <w:rPr>
          <w:rFonts w:eastAsiaTheme="minorEastAsia"/>
        </w:rPr>
        <w:t>ребуемое снижение шума</w:t>
      </w:r>
      <w:r>
        <w:rPr>
          <w:rFonts w:eastAsiaTheme="minorEastAsia"/>
        </w:rPr>
        <w:t xml:space="preserve"> не достигается</w:t>
      </w:r>
      <w:r w:rsidR="00703485">
        <w:rPr>
          <w:rFonts w:eastAsiaTheme="minorEastAsia"/>
        </w:rPr>
        <w:t xml:space="preserve"> внутри кабины экипажа</w:t>
      </w:r>
      <w:r>
        <w:rPr>
          <w:rFonts w:eastAsiaTheme="minorEastAsia"/>
        </w:rPr>
        <w:t>, даже</w:t>
      </w:r>
      <w:r w:rsidR="00703485">
        <w:rPr>
          <w:rFonts w:eastAsiaTheme="minorEastAsia"/>
        </w:rPr>
        <w:t xml:space="preserve"> с использованием СИЗ органов слуха</w:t>
      </w:r>
      <w:r>
        <w:rPr>
          <w:rFonts w:eastAsiaTheme="minorEastAsia"/>
        </w:rPr>
        <w:t>. Поэтому д</w:t>
      </w:r>
      <w:r w:rsidR="00925592">
        <w:rPr>
          <w:rFonts w:eastAsiaTheme="minorEastAsia"/>
        </w:rPr>
        <w:t>ля обеспечения условий работы экипажа</w:t>
      </w:r>
      <w:r w:rsidR="00703485">
        <w:rPr>
          <w:rFonts w:eastAsiaTheme="minorEastAsia"/>
        </w:rPr>
        <w:t xml:space="preserve"> </w:t>
      </w:r>
      <w:r>
        <w:rPr>
          <w:rFonts w:eastAsiaTheme="minorEastAsia"/>
        </w:rPr>
        <w:t>необходимо обеспечить кабину самоходной пуск</w:t>
      </w:r>
      <w:r w:rsidR="00B74ED5">
        <w:rPr>
          <w:rFonts w:eastAsiaTheme="minorEastAsia"/>
        </w:rPr>
        <w:t>овой установки дополнительными мерами для снижения уровня шума</w:t>
      </w:r>
      <w:r w:rsidR="00925592">
        <w:rPr>
          <w:rFonts w:eastAsiaTheme="minorEastAsia"/>
        </w:rPr>
        <w:t xml:space="preserve">. </w:t>
      </w:r>
      <w:r w:rsidR="00767A79">
        <w:rPr>
          <w:rFonts w:eastAsiaTheme="minorEastAsia"/>
        </w:rPr>
        <w:t>Потребный уровень звукоизоляции можно обеспечить использованием специальных звукоизоляц</w:t>
      </w:r>
      <w:r w:rsidR="009E6FBA">
        <w:rPr>
          <w:rFonts w:eastAsiaTheme="minorEastAsia"/>
        </w:rPr>
        <w:t>ионных материалов внутри кабины, а также</w:t>
      </w:r>
      <w:r w:rsidR="00767A79">
        <w:rPr>
          <w:rFonts w:eastAsiaTheme="minorEastAsia"/>
        </w:rPr>
        <w:t xml:space="preserve"> организации герметичности внутри кабины экипажа. </w:t>
      </w:r>
      <w:r w:rsidR="00B74ED5">
        <w:rPr>
          <w:rFonts w:eastAsiaTheme="minorEastAsia"/>
        </w:rPr>
        <w:t>Более того, если член экипажа, в нарушение правил охраны труда, окажется во время пуска ракеты без СИЗ органов слуха, дополнительная звукоизоляция кабины экипажа позволит избежать серьезных травм органов слуха и обеспечит дальнейшую боеспособность экипажа.</w:t>
      </w:r>
    </w:p>
    <w:p w14:paraId="534606C3" w14:textId="407E39C9" w:rsidR="001B3D8D" w:rsidRDefault="001B3D8D">
      <w:pPr>
        <w:rPr>
          <w:rFonts w:ascii="Times New Roman" w:eastAsiaTheme="minorEastAsia" w:hAnsi="Times New Roman"/>
          <w:sz w:val="28"/>
        </w:rPr>
      </w:pPr>
      <w:r>
        <w:rPr>
          <w:rFonts w:eastAsiaTheme="minorEastAsia"/>
        </w:rPr>
        <w:br w:type="page"/>
      </w:r>
    </w:p>
    <w:p w14:paraId="457BB0C8" w14:textId="3B61393E" w:rsidR="001B3D8D" w:rsidRDefault="001B3D8D" w:rsidP="001B3D8D">
      <w:pPr>
        <w:pStyle w:val="a4"/>
      </w:pPr>
      <w:r>
        <w:lastRenderedPageBreak/>
        <w:t>Список литературы</w:t>
      </w:r>
    </w:p>
    <w:p w14:paraId="7AB8851D" w14:textId="2E93787F" w:rsidR="00E73C40" w:rsidRDefault="00E73C40" w:rsidP="00E73C40">
      <w:pPr>
        <w:pStyle w:val="a3"/>
        <w:numPr>
          <w:ilvl w:val="0"/>
          <w:numId w:val="13"/>
        </w:numPr>
      </w:pPr>
      <w:r w:rsidRPr="00E73C40">
        <w:t>Иванов Н. И. Инженерная акустика. Теория и практика борьбы с шумом / Н. И. Иванов, Москва: Логос, 2016. 424 c.</w:t>
      </w:r>
    </w:p>
    <w:p w14:paraId="1852765C" w14:textId="528AF9E2" w:rsidR="00E73C40" w:rsidRPr="00E73C40" w:rsidRDefault="00E73C40" w:rsidP="00E73C40">
      <w:pPr>
        <w:pStyle w:val="a3"/>
        <w:numPr>
          <w:ilvl w:val="0"/>
          <w:numId w:val="13"/>
        </w:numPr>
      </w:pPr>
      <w:r>
        <w:t>Л.Г. Осипов. Звукоизоляция и звукопоглощение: Учебное пособие для студентов ВУЗов /</w:t>
      </w:r>
      <w:r w:rsidRPr="00E73C40">
        <w:t xml:space="preserve"> </w:t>
      </w:r>
      <w:r>
        <w:t xml:space="preserve">Л.Г Осипов , В.Н. Бобылев, Л.А Борисов </w:t>
      </w:r>
      <w:r w:rsidRPr="00E73C40">
        <w:t>[</w:t>
      </w:r>
      <w:r>
        <w:t>и др.</w:t>
      </w:r>
      <w:r w:rsidRPr="00E73C40">
        <w:t>]</w:t>
      </w:r>
      <w:r>
        <w:t xml:space="preserve">; Под ред. Г. Л. Осипова, В.Н. Бобылева. – М.: ООО « Издательство АСТ»: ООО «Издательство Астрель», 2004. - 450с </w:t>
      </w:r>
    </w:p>
    <w:p w14:paraId="1BDDDB9D" w14:textId="77777777" w:rsidR="001B3D8D" w:rsidRPr="001B3D8D" w:rsidRDefault="001B3D8D" w:rsidP="001B3D8D">
      <w:pPr>
        <w:pStyle w:val="a3"/>
      </w:pPr>
    </w:p>
    <w:sectPr w:rsidR="001B3D8D" w:rsidRPr="001B3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868E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0027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C36AD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2E7A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28DB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C445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8AB8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7E30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282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6E7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973D5"/>
    <w:multiLevelType w:val="hybridMultilevel"/>
    <w:tmpl w:val="25101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8765C"/>
    <w:multiLevelType w:val="hybridMultilevel"/>
    <w:tmpl w:val="FD94A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127E1"/>
    <w:multiLevelType w:val="hybridMultilevel"/>
    <w:tmpl w:val="2D4AB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272"/>
    <w:rsid w:val="0006402E"/>
    <w:rsid w:val="000E268A"/>
    <w:rsid w:val="001B3D8D"/>
    <w:rsid w:val="001F58AD"/>
    <w:rsid w:val="001F61DC"/>
    <w:rsid w:val="00230310"/>
    <w:rsid w:val="00255363"/>
    <w:rsid w:val="00303034"/>
    <w:rsid w:val="00331EA5"/>
    <w:rsid w:val="0037695A"/>
    <w:rsid w:val="003C4CD6"/>
    <w:rsid w:val="005D11B4"/>
    <w:rsid w:val="006159ED"/>
    <w:rsid w:val="00703485"/>
    <w:rsid w:val="00767A79"/>
    <w:rsid w:val="007E436F"/>
    <w:rsid w:val="007F0854"/>
    <w:rsid w:val="00804991"/>
    <w:rsid w:val="00806A07"/>
    <w:rsid w:val="00865C3A"/>
    <w:rsid w:val="008B3110"/>
    <w:rsid w:val="008D004E"/>
    <w:rsid w:val="00925592"/>
    <w:rsid w:val="009E6FBA"/>
    <w:rsid w:val="00AC2DB7"/>
    <w:rsid w:val="00AE64D0"/>
    <w:rsid w:val="00B10E06"/>
    <w:rsid w:val="00B74ED5"/>
    <w:rsid w:val="00BD7FB6"/>
    <w:rsid w:val="00C130AD"/>
    <w:rsid w:val="00C24272"/>
    <w:rsid w:val="00D05C97"/>
    <w:rsid w:val="00DC73FC"/>
    <w:rsid w:val="00DD0BCE"/>
    <w:rsid w:val="00E3766F"/>
    <w:rsid w:val="00E47A01"/>
    <w:rsid w:val="00E70D7B"/>
    <w:rsid w:val="00E73C40"/>
    <w:rsid w:val="00E91858"/>
    <w:rsid w:val="00F004BC"/>
    <w:rsid w:val="00F23CCF"/>
    <w:rsid w:val="00F7184F"/>
    <w:rsid w:val="00FC305F"/>
    <w:rsid w:val="00FE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0BB8"/>
  <w15:chartTrackingRefBased/>
  <w15:docId w15:val="{793B37BD-ED3D-4BBB-A584-23C3AD59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8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текст"/>
    <w:basedOn w:val="a"/>
    <w:qFormat/>
    <w:rsid w:val="00E91858"/>
    <w:p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a4">
    <w:name w:val="ГОСТ заголовок"/>
    <w:basedOn w:val="a3"/>
    <w:next w:val="a3"/>
    <w:qFormat/>
    <w:rsid w:val="00E91858"/>
    <w:pPr>
      <w:jc w:val="center"/>
    </w:pPr>
    <w:rPr>
      <w:b/>
      <w:sz w:val="32"/>
    </w:rPr>
  </w:style>
  <w:style w:type="character" w:styleId="a5">
    <w:name w:val="Placeholder Text"/>
    <w:basedOn w:val="a0"/>
    <w:uiPriority w:val="99"/>
    <w:semiHidden/>
    <w:rsid w:val="00255363"/>
    <w:rPr>
      <w:color w:val="808080"/>
    </w:rPr>
  </w:style>
  <w:style w:type="table" w:styleId="a6">
    <w:name w:val="Table Grid"/>
    <w:basedOn w:val="a1"/>
    <w:uiPriority w:val="39"/>
    <w:rsid w:val="00BD7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unhideWhenUsed/>
    <w:qFormat/>
    <w:rsid w:val="00E73C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Основной текст Знак"/>
    <w:basedOn w:val="a0"/>
    <w:link w:val="a7"/>
    <w:uiPriority w:val="99"/>
    <w:rsid w:val="00E73C4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9C8A9-5385-403B-B803-294B5BB4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Vovan</cp:lastModifiedBy>
  <cp:revision>4</cp:revision>
  <dcterms:created xsi:type="dcterms:W3CDTF">2021-04-29T07:06:00Z</dcterms:created>
  <dcterms:modified xsi:type="dcterms:W3CDTF">2021-05-02T16:50:00Z</dcterms:modified>
</cp:coreProperties>
</file>