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EC1" w:rsidRPr="00512EC1" w:rsidRDefault="00512EC1" w:rsidP="00512EC1">
      <w:pPr>
        <w:tabs>
          <w:tab w:val="left" w:pos="1843"/>
        </w:tabs>
        <w:spacing w:after="0" w:line="360" w:lineRule="auto"/>
        <w:ind w:firstLine="851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Экологическая безопасность при изготовлении, эксплуатации и утилизации МРД</w:t>
      </w:r>
    </w:p>
    <w:p w:rsidR="00512EC1" w:rsidRPr="00512EC1" w:rsidRDefault="00512EC1" w:rsidP="00512EC1">
      <w:pPr>
        <w:tabs>
          <w:tab w:val="left" w:pos="1843"/>
        </w:tabs>
        <w:spacing w:after="0" w:line="360" w:lineRule="auto"/>
        <w:ind w:firstLine="851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11.1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ab/>
        <w:t>Экологическая безопасность МРД</w:t>
      </w:r>
    </w:p>
    <w:p w:rsidR="00512EC1" w:rsidRPr="00512EC1" w:rsidRDefault="00512EC1" w:rsidP="00512EC1">
      <w:pPr>
        <w:tabs>
          <w:tab w:val="left" w:pos="1843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11.1.1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ab/>
        <w:t>Общие требования экологической безопасности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В связи с разработкой принципиально новых систем техники представляется важным обеспечение экологической безопасности при проведении работ на этапах изготовления, хранения, испытания и эксплуатации изделий, а также утилизации зарядов после истечения сроков их технической пригодности.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В настоящей главе содержатся результаты проведенной оценки экологической безопасности изделия ОИ700 и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бронировочного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состава ЭТАЛ-148ТГ-2Н-1. Масса изделия 31,6 кг.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Масса изделия ДИ701.020 составляет 0,015 кг и для оценки экологической безопасности необходимо провести дополнительный анализ на этапе СЧ ОКР.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Производство изделий ОИ700 на составе РДГ-1, их испытание, уничтожение отходов производства, а также утилизации зарядов после истечения сроков их технической пригодности на открытых площадках методом сжигания являются источниками загрязнения окружающей среды токсичными веществами.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 xml:space="preserve">Проведение открытых огневых испытаний заряда и  уничтожение отходов производства на площадках сопровождаются выбросами сложного комплекса химических соединений в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газоаэрозольной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 фазе, загрязняющих окружающую среду.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Экологическая безопасность обеспечивается соблюдением следующих требований:</w:t>
      </w:r>
    </w:p>
    <w:p w:rsidR="00512EC1" w:rsidRPr="00512EC1" w:rsidRDefault="00512EC1" w:rsidP="00512EC1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1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ab/>
        <w:t>В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процессе изготовления и  хранения изделий не должны выделяться в производственные помещения вредные вещества с превышением предельно-допустимых концентраций (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ПДКр.з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>.) для воздуха рабочей зоны.</w:t>
      </w:r>
    </w:p>
    <w:p w:rsidR="00512EC1" w:rsidRPr="00512EC1" w:rsidRDefault="00512EC1" w:rsidP="00512EC1">
      <w:pPr>
        <w:tabs>
          <w:tab w:val="left" w:pos="1134"/>
        </w:tabs>
        <w:spacing w:after="0" w:line="360" w:lineRule="auto"/>
        <w:ind w:firstLineChars="253"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2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ab/>
        <w:t>В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процессе испытаний изделия и его уничтожения методом сжигания не должны превышаться требования предельно-допустимых выбросов (ПДВ), установленных для предприятия. При соблюдении этих требований на границе санитарно-защитной зоны предприятия предельно-допустимые концентрации вредных веществ не превышают норм, установленных для воздуха населенных пунктов (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ПДК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атм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>).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Исследования по обеспечению экологической безопасности при производстве и эксплуатации изделия ОИ700 включают следующие этапы: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– оценка количественного и качественного состава веществ, выделяющихся при производстве и хранении изделия; токсикологическая оценка продуктов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газовыделения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в процессе хранения и эксплуатации;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разработка мероприятий по обеспечению безопасных условий труда персонала в процессе сборки, хранения и обслуживания изделий;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– определение 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>состава продуктов сгорания изделия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на воздухе при испытаниях и эксплуатации;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>– токсикологическая оценка продуктов сгорания изделия на воздухе, составление прогноза отрицательного воздействия продуктов сгорания на объекты окружающей среды и разработка рекомендаций по обеспечению экологической безопасности на  этапах изготовления, испытания и утилизации.</w:t>
      </w:r>
      <w:proofErr w:type="gramEnd"/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caps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11.1.2</w:t>
      </w:r>
      <w:r w:rsidRPr="00512EC1">
        <w:rPr>
          <w:rFonts w:eastAsia="Times New Roman" w:cs="Times New Roman"/>
          <w:sz w:val="28"/>
          <w:szCs w:val="28"/>
          <w:lang/>
        </w:rPr>
        <w:tab/>
        <w:t>Обеспечение экологической безопасности персонала при работе с изделием на составе РДГ-1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Оценка возможного отрицательного воздействия на обслуживающий персонал и объекты окружающей среды проводилась на основании анализа используемого в изделии ОИ700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баллиститного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состава РДГ-1.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Большинство компонентов состава РДГ-1 используются в обычных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баллиститных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твердых топливах, их токсикологические характеристики, а также мероприятия по защите персонала и охране окружающей среды при изготовлении, хранении и испытании  изделий хорошо изучены и приведены в соответствующей технологической документации.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В таблице 11.1 приведены токсикологические характеристики для основных компонентов состава РДГ-1.</w:t>
      </w:r>
    </w:p>
    <w:p w:rsidR="00512EC1" w:rsidRPr="00512EC1" w:rsidRDefault="00512EC1" w:rsidP="00512EC1">
      <w:pPr>
        <w:spacing w:after="0" w:line="360" w:lineRule="auto"/>
        <w:ind w:left="1843" w:hanging="1843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Таблица 11.1 – 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Токсикометрические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>* характеристики основных компонентов состава РДГ-1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134"/>
        <w:gridCol w:w="992"/>
        <w:gridCol w:w="1418"/>
        <w:gridCol w:w="992"/>
        <w:gridCol w:w="992"/>
        <w:gridCol w:w="992"/>
        <w:gridCol w:w="1134"/>
      </w:tblGrid>
      <w:tr w:rsidR="00512EC1" w:rsidRPr="00512EC1" w:rsidTr="00C50F3B">
        <w:trPr>
          <w:cantSplit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Вещество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Воздух рабочей зоны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Атмосферный воздух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Вода водоёмов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Ссылка на источник</w:t>
            </w:r>
          </w:p>
        </w:tc>
      </w:tr>
      <w:tr w:rsidR="00512EC1" w:rsidRPr="00512EC1" w:rsidTr="00C50F3B">
        <w:trPr>
          <w:cantSplit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6"/>
                <w:szCs w:val="26"/>
                <w:vertAlign w:val="subscript"/>
                <w:lang w:val="ru-RU" w:eastAsia="ru-RU"/>
              </w:rPr>
              <w:t>р.з</w:t>
            </w:r>
            <w:proofErr w:type="spellEnd"/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.,</w:t>
            </w:r>
            <w:r w:rsidRPr="00512EC1">
              <w:rPr>
                <w:rFonts w:eastAsia="Times New Roman" w:cs="Times New Roman"/>
                <w:sz w:val="26"/>
                <w:szCs w:val="26"/>
                <w:vertAlign w:val="subscript"/>
                <w:lang w:val="ru-RU" w:eastAsia="ru-RU"/>
              </w:rPr>
              <w:t xml:space="preserve"> </w:t>
            </w: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мг/м</w:t>
            </w:r>
            <w:r w:rsidRPr="00512EC1">
              <w:rPr>
                <w:rFonts w:eastAsia="Times New Roman" w:cs="Times New Roman"/>
                <w:sz w:val="26"/>
                <w:szCs w:val="26"/>
                <w:vertAlign w:val="superscript"/>
                <w:lang w:val="ru-RU"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Класс опасности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ПДК,</w:t>
            </w:r>
          </w:p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мг/м</w:t>
            </w:r>
            <w:r w:rsidRPr="00512EC1">
              <w:rPr>
                <w:rFonts w:eastAsia="Times New Roman" w:cs="Times New Roman"/>
                <w:sz w:val="26"/>
                <w:szCs w:val="26"/>
                <w:vertAlign w:val="superscript"/>
                <w:lang w:val="ru-RU"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Класс опасности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4"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6"/>
                <w:szCs w:val="26"/>
                <w:vertAlign w:val="subscript"/>
                <w:lang w:val="ru-RU" w:eastAsia="ru-RU"/>
              </w:rPr>
              <w:t>в</w:t>
            </w:r>
            <w:proofErr w:type="spellEnd"/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, мг/л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Класс опасности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</w:p>
        </w:tc>
      </w:tr>
      <w:tr w:rsidR="00512EC1" w:rsidRPr="00512EC1" w:rsidTr="00C50F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Коллоксилин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4"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/25/</w:t>
            </w:r>
          </w:p>
        </w:tc>
      </w:tr>
      <w:tr w:rsidR="00512EC1" w:rsidRPr="00512EC1" w:rsidTr="00C50F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Нитроглицерин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0,001 (ОБУВ)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4"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/18/, /19/</w:t>
            </w:r>
          </w:p>
        </w:tc>
      </w:tr>
      <w:tr w:rsidR="00512EC1" w:rsidRPr="00512EC1" w:rsidTr="00C50F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Дифениламин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4"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/16/,/18/,/19/, /21/</w:t>
            </w:r>
          </w:p>
        </w:tc>
      </w:tr>
      <w:tr w:rsidR="00512EC1" w:rsidRPr="00512EC1" w:rsidTr="00C50F3B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Централит</w:t>
            </w:r>
            <w:proofErr w:type="spellEnd"/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(</w:t>
            </w:r>
            <w:proofErr w:type="spellStart"/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диэтилфенилмочевина</w:t>
            </w:r>
            <w:proofErr w:type="spellEnd"/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4"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/17/, /26/,/28/</w:t>
            </w:r>
          </w:p>
        </w:tc>
      </w:tr>
      <w:tr w:rsidR="00512EC1" w:rsidRPr="00512EC1" w:rsidTr="00C50F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Индустриальное масло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/16/, /23/</w:t>
            </w:r>
          </w:p>
        </w:tc>
      </w:tr>
      <w:tr w:rsidR="00512EC1" w:rsidRPr="00512EC1" w:rsidTr="00C50F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Гексоген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/19/</w:t>
            </w:r>
          </w:p>
        </w:tc>
      </w:tr>
      <w:tr w:rsidR="00512EC1" w:rsidRPr="00512EC1" w:rsidTr="00C50F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Дазин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/30/</w:t>
            </w:r>
          </w:p>
        </w:tc>
      </w:tr>
      <w:tr w:rsidR="00512EC1" w:rsidRPr="00512EC1" w:rsidTr="00C50F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Окись свинца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0,01</w:t>
            </w:r>
          </w:p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(по свинцу)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0,001м.р. </w:t>
            </w:r>
          </w:p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(по свинцу)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0,03</w:t>
            </w:r>
          </w:p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(по иону </w:t>
            </w:r>
            <w:proofErr w:type="spellStart"/>
            <w:r w:rsidRPr="00512EC1">
              <w:rPr>
                <w:rFonts w:eastAsia="Times New Roman" w:cs="Times New Roman"/>
                <w:sz w:val="26"/>
                <w:szCs w:val="26"/>
                <w:lang w:eastAsia="ru-RU"/>
              </w:rPr>
              <w:t>Pb</w:t>
            </w:r>
            <w:proofErr w:type="spellEnd"/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</w:p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/23, 31/</w:t>
            </w:r>
          </w:p>
        </w:tc>
      </w:tr>
      <w:tr w:rsidR="00512EC1" w:rsidRPr="00512EC1" w:rsidTr="00C50F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Окись кобальта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0,001(для кобальта металлического)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/18/,/19/,</w:t>
            </w:r>
          </w:p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/24/</w:t>
            </w:r>
          </w:p>
        </w:tc>
      </w:tr>
      <w:tr w:rsidR="00512EC1" w:rsidRPr="00512EC1" w:rsidTr="00C50F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Титана двуокись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/32/</w:t>
            </w:r>
          </w:p>
        </w:tc>
      </w:tr>
      <w:tr w:rsidR="00512EC1" w:rsidRPr="00512EC1" w:rsidTr="00C50F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Индустриальное масло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/16/, /23/</w:t>
            </w:r>
          </w:p>
        </w:tc>
      </w:tr>
    </w:tbl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* « - » - норматив и класс опасности не разработаны.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>ПДКр.з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>. – предельно допустимая концентрация химического вещества в воздухе рабочей зоны,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.Эта концентрация при ежедневной (кроме выходных дней) работе в пределах 8 ч или другой продолжительности, но не более 41 ч в неделю, в течение всего рабочего стажа не должна вызывать заболевания или отклонения в состоянии здоровья, обнаруживаемых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современными методами исследования в процессе работы или в отдаленные сроки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жизни настоящего и последующего поколений.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ПДКм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>.р</w:t>
      </w:r>
      <w:proofErr w:type="spellEnd"/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– предельно допустимая максимально-разовая концентрация химического вещества в воздухе населенных мест,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. Эта концентрация не должна оказывать на человека прямого или 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>косвенного вредного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воздействия.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ПДКв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– предельно допустимая концентрация химического вещества в воде водоёма, мг/л. Эта концентрация не должна оказывать прямого или косвенного влияния на организм человека в течение всей его жизни и на здоровье последующих поколений и не должна ухудшать гигиенические условия водопользования.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ОБУВ – 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>ориентировочный безопасный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уровень воздействия химического вещества, установленный расчетным путем (временный норматив).</w:t>
      </w:r>
    </w:p>
    <w:p w:rsidR="00512EC1" w:rsidRPr="00512EC1" w:rsidRDefault="00512EC1" w:rsidP="00512EC1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/>
        </w:rPr>
      </w:pPr>
    </w:p>
    <w:p w:rsidR="00512EC1" w:rsidRPr="00512EC1" w:rsidRDefault="00512EC1" w:rsidP="00512EC1">
      <w:pPr>
        <w:spacing w:after="0" w:line="360" w:lineRule="auto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 xml:space="preserve">Таблица 11.2 – Токсикологические характеристики компонентов состава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3"/>
        <w:gridCol w:w="7163"/>
      </w:tblGrid>
      <w:tr w:rsidR="00512EC1" w:rsidRPr="00512EC1" w:rsidTr="00C50F3B">
        <w:trPr>
          <w:tblHeader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08" w:right="-42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Вещество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08" w:right="-42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Характер действия</w:t>
            </w:r>
          </w:p>
        </w:tc>
      </w:tr>
      <w:tr w:rsidR="00512EC1" w:rsidRPr="00512EC1" w:rsidTr="00C50F3B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Нитроглицерин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Высокотоксичное соединение. Оказывает преимущественное влияние на тонус сосудов, функцию ЦНС, гемодинамику. Обладает раздражающим действием на кожу и слизистые. Возможно острое отравление при любом пути поступления в организм: </w:t>
            </w: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ингаляционно</w:t>
            </w:r>
            <w:proofErr w:type="spell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, через кожу и т.д. Острое отравление проявляется головной болью, головокружением, болью в области сердца, нарушением зрения, светобоязнью, жжением в горле, тошнотой, судорожными сокращениями мышц. При хроническом отравлении наблюдаются головные боли, скачки артериального давления, слабость, нарушение сна.</w:t>
            </w:r>
          </w:p>
        </w:tc>
      </w:tr>
      <w:tr w:rsidR="00512EC1" w:rsidRPr="00512EC1" w:rsidTr="00C50F3B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Гексоген</w:t>
            </w:r>
            <w:proofErr w:type="spellEnd"/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Токсичен.</w:t>
            </w:r>
            <w:proofErr w:type="gram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При контакте с </w:t>
            </w: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гексогеном</w:t>
            </w:r>
            <w:proofErr w:type="spell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отмечаются головные боли, головокружения, тошнота и сухость во рту, жажда, слабость. В более тяжелых случаях отравления возможна потеря сознания, цианоз, судороги, многократная рвота.</w:t>
            </w:r>
          </w:p>
        </w:tc>
      </w:tr>
    </w:tbl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3"/>
        <w:gridCol w:w="7163"/>
      </w:tblGrid>
      <w:tr w:rsidR="00512EC1" w:rsidRPr="00512EC1" w:rsidTr="00C50F3B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Продолжение таблицы 11.2</w:t>
            </w:r>
          </w:p>
        </w:tc>
      </w:tr>
      <w:tr w:rsidR="00512EC1" w:rsidRPr="00512EC1" w:rsidTr="00C50F3B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08" w:right="-42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Вещество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08" w:right="-42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Характер действия</w:t>
            </w:r>
          </w:p>
        </w:tc>
      </w:tr>
      <w:tr w:rsidR="00512EC1" w:rsidRPr="00512EC1" w:rsidTr="00C50F3B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Дазин</w:t>
            </w:r>
            <w:proofErr w:type="spellEnd"/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Токсичен.</w:t>
            </w:r>
            <w:proofErr w:type="gram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Вызывает изменения в центральной нервной системе и в крови. Оказывает местное раздражающее действие на слизистые оболочки и кожу.</w:t>
            </w:r>
          </w:p>
        </w:tc>
      </w:tr>
      <w:tr w:rsidR="00512EC1" w:rsidRPr="00512EC1" w:rsidTr="00C50F3B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Окись свинца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Яд, действующий на нервную систему, кровь, сосуды.</w:t>
            </w:r>
          </w:p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Вызывает денатурацию белков и </w:t>
            </w: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инактивацию</w:t>
            </w:r>
            <w:proofErr w:type="spell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ферментов в организме. Тяжелые отравления возникают при концентрации (9-12) мг/м</w:t>
            </w:r>
            <w:r w:rsidRPr="00512EC1">
              <w:rPr>
                <w:rFonts w:eastAsia="Times New Roman" w:cs="Times New Roman"/>
                <w:sz w:val="28"/>
                <w:szCs w:val="28"/>
                <w:vertAlign w:val="superscript"/>
                <w:lang w:val="ru-RU" w:eastAsia="ru-RU"/>
              </w:rPr>
              <w:t>3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во вдыхаемом воздухе.</w:t>
            </w:r>
          </w:p>
        </w:tc>
      </w:tr>
      <w:tr w:rsidR="00512EC1" w:rsidRPr="00512EC1" w:rsidTr="00C50F3B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Окись кобальта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Токсична.</w:t>
            </w:r>
            <w:proofErr w:type="gram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При поступлениях внутрь в количествах 20-60 мг в сутки вызывает нарушения деятельности щитовидной железы, отеки, нарушения слуха. Хроническое отравление приводит к хроническим бронхитам, пневмониям, поражениям щитовидной железы, аллергическим реакциям.</w:t>
            </w:r>
          </w:p>
        </w:tc>
      </w:tr>
      <w:tr w:rsidR="00512EC1" w:rsidRPr="00512EC1" w:rsidTr="00C50F3B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Титана двуокись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Малотоксична</w:t>
            </w:r>
            <w:proofErr w:type="spell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. При длительном воздействии вызывает изменения со стороны дыхания, накапливается в тканях легких, в редких случаях вызывая диффузный пневмосклероз и фиброзы.</w:t>
            </w:r>
          </w:p>
        </w:tc>
      </w:tr>
      <w:tr w:rsidR="00512EC1" w:rsidRPr="00512EC1" w:rsidTr="00C50F3B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Индустриальное масло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Умеренно токсичное соединение. При длительном вдыхании паров и аэрозоли возможны развитие пневмонии и ограниченные затемнения в легких. При контакте с кожей оказывает раздражающее действие и вызывает «масляный фолликулит»  в виде угрей, контактный дерматит.</w:t>
            </w:r>
          </w:p>
        </w:tc>
      </w:tr>
      <w:tr w:rsidR="00512EC1" w:rsidRPr="00512EC1" w:rsidTr="00C50F3B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Централит</w:t>
            </w:r>
            <w:proofErr w:type="spellEnd"/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Умеренно опасное вещество. Действует на ЦНС, кровь, печень, щитовидную железу. Кумулятивные свойства выражены умеренно. Обладает раздражающим действием на кожу и слизистые оболочки глаз.</w:t>
            </w:r>
          </w:p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512EC1" w:rsidRPr="00512EC1" w:rsidTr="00C50F3B">
        <w:trPr>
          <w:trHeight w:val="1615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Дифениламин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Умеренно токсичное вещество. Поражает нервную, </w:t>
            </w:r>
            <w:proofErr w:type="spellStart"/>
            <w:proofErr w:type="gram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сердечно-сосудистую</w:t>
            </w:r>
            <w:proofErr w:type="spellEnd"/>
            <w:proofErr w:type="gram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системы и систему крови. </w:t>
            </w: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Способен</w:t>
            </w:r>
            <w:proofErr w:type="gram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проникать через кожу. Характеризуется слабыми раздражающими свойствами.</w:t>
            </w:r>
          </w:p>
        </w:tc>
      </w:tr>
    </w:tbl>
    <w:p w:rsidR="00512EC1" w:rsidRPr="00512EC1" w:rsidRDefault="00512EC1" w:rsidP="00512EC1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 w:val="ru-RU"/>
        </w:rPr>
      </w:pP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 xml:space="preserve">Наиболее опасным из указанных компонентов является нитроглицерин. Нитроглицерин (и другие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нитроэфиры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) относятся к 1 классу опасности. НГЦ является токсичным соединением, оказывающим </w:t>
      </w:r>
      <w:r w:rsidRPr="00512EC1">
        <w:rPr>
          <w:rFonts w:eastAsia="Times New Roman" w:cs="Times New Roman"/>
          <w:sz w:val="28"/>
          <w:szCs w:val="28"/>
          <w:lang/>
        </w:rPr>
        <w:lastRenderedPageBreak/>
        <w:t xml:space="preserve">преимущественное влияние на тонус сосудов, гемодинамику, функцию центральной нервной системы; при острой интоксикации –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метгемоглобинемию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, анемию. 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Окислы  свинца и  кобальта, входящие в состав РДГ-1, представляют собой значительно меньшую опасность в связи с низкой летучестью.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Основными рекомендациями по обеспечению экологической безопасности при производстве изделий являются: герметизация оборудования, сокращение доли ручного труда, контроль содержания вредных веществ в воздухе и сточных водах, использование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общеобменной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и, при необходимости, местной вытяжной вентиляции, очистка сточных вод и газовых выбросов, использование средств индивидуальной защиты.</w:t>
      </w:r>
      <w:proofErr w:type="gramEnd"/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При длительном хранении изделий на стеллажах или в закрытых контейнерах, по данным отделения физико-химических исследований, в рабочую зону практически не выделяются токсичные газы. В объем контейнера (корпуса) при длительном хранении могут выделяться пары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нитроэфира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,  </w:t>
      </w:r>
      <w:r w:rsidRPr="00512EC1">
        <w:rPr>
          <w:rFonts w:eastAsia="Times New Roman" w:cs="Times New Roman"/>
          <w:sz w:val="28"/>
          <w:szCs w:val="28"/>
          <w:lang w:eastAsia="ru-RU"/>
        </w:rPr>
        <w:t>NO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, а также азот  и СО</w:t>
      </w:r>
      <w:proofErr w:type="gramStart"/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>.  Для нитроглицерина ПДК (воздуха рабочей зоны) составляет  0,02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, для воздуха населенных пунктов ОБУВ (временный ПДК) составляет 0,001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. Для </w:t>
      </w:r>
      <w:r w:rsidRPr="00512EC1">
        <w:rPr>
          <w:rFonts w:eastAsia="Times New Roman" w:cs="Times New Roman"/>
          <w:sz w:val="28"/>
          <w:szCs w:val="28"/>
          <w:lang w:eastAsia="ru-RU"/>
        </w:rPr>
        <w:t>NO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 ПДК (воздуха рабочей зоны) составляет  9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, для воздуха населенных пунктов ПДК максимально 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>разовая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и ПДК (средне – суточная)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 xml:space="preserve">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одинаковы и составляют 0,085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. При разгерметизации контейнера для осмотра необходимо, чтобы помещение, где проводятся эти работы, было снабжено вытяжной вентиляцией.  Дополнительных мер по защите органов дыхания не требуется.</w:t>
      </w:r>
    </w:p>
    <w:p w:rsidR="00512EC1" w:rsidRPr="00512EC1" w:rsidRDefault="00512EC1" w:rsidP="00512EC1">
      <w:pPr>
        <w:tabs>
          <w:tab w:val="left" w:pos="1843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11.1.3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ab/>
        <w:t>Предложения по утилизации зарядов после истечения сроков их технической пригодности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В настоящее время утилизация зарядов небольшой  массы производится исключительно методом сжигания. При этом выделяется умеренное  количество продуктов сгорания, которые рассеиваются в атмосфере.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512EC1" w:rsidRPr="00512EC1" w:rsidRDefault="00512EC1" w:rsidP="00512EC1">
      <w:pPr>
        <w:tabs>
          <w:tab w:val="left" w:pos="1843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11.1.4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ab/>
        <w:t>Эколого-гигиеническая характеристика продуктов сгорания изделия ОИ700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Воздействие продуктов сгорания на окружающую среду определяется следующими факторами: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токсичностью продуктов сгорания;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количеством образующихся продуктов сгорания;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последующей трансформацией продуктов сгорания в атмосфере;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параметрами рассеивания вредных выбросов.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При горении состава, используемого в изделии ОИ700, образуются в основном те же вещества, что и при горении штатных составов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баллиститных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топлив.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При температуре горения топлива (около 2000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о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С) все способные гореть соединения догорают на воздухе: так водород на воздухе догорает до Н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О, СО - до СО</w:t>
      </w:r>
      <w:proofErr w:type="gramStart"/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, аэрозоли металлов окисляются до соответствующих окислов. Поэтому реальное воздействие при стендовых испытаниях на персонал и окружающую среду оказывают, в основном, окись свинца и окись кобальта. 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Окись титана является малотоксичным веществом и его воздействием обычно пренебрегают.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>Основным требованием, обеспечивающим экологическую безопасность является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то, что на границе санитарно – защитной зоны не было превышения ПДК атм. воздуха.</w:t>
      </w:r>
    </w:p>
    <w:p w:rsidR="00512EC1" w:rsidRPr="00512EC1" w:rsidRDefault="00512EC1" w:rsidP="00512EC1">
      <w:pPr>
        <w:spacing w:after="0" w:line="360" w:lineRule="auto"/>
        <w:ind w:left="1985" w:hanging="1985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br w:type="column"/>
      </w: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Таблица 11.3 – Токсикологические характеристики продуктов догорания на воздухе газов, образующихся при сжигании изделия ОИ700 на составе РДГ-1</w:t>
      </w:r>
    </w:p>
    <w:tbl>
      <w:tblPr>
        <w:tblW w:w="94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1417"/>
        <w:gridCol w:w="1276"/>
        <w:gridCol w:w="1559"/>
        <w:gridCol w:w="1418"/>
        <w:gridCol w:w="1126"/>
        <w:gridCol w:w="1260"/>
      </w:tblGrid>
      <w:tr w:rsidR="00512EC1" w:rsidRPr="00512EC1" w:rsidTr="00C50F3B">
        <w:trPr>
          <w:cantSplit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Вещество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08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Воздух</w:t>
            </w: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08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Вода водоёмов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108" w:right="-113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Ссылка на источник</w:t>
            </w:r>
          </w:p>
        </w:tc>
      </w:tr>
      <w:tr w:rsidR="00512EC1" w:rsidRPr="00512EC1" w:rsidTr="00C50F3B">
        <w:trPr>
          <w:cantSplit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EC1" w:rsidRPr="00512EC1" w:rsidRDefault="00512EC1" w:rsidP="00512EC1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25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Класс 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р.з</w:t>
            </w:r>
            <w:proofErr w:type="spellEnd"/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.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мг/м</w:t>
            </w:r>
            <w:r w:rsidRPr="00512EC1">
              <w:rPr>
                <w:rFonts w:eastAsia="Times New Roman" w:cs="Times New Roman"/>
                <w:sz w:val="28"/>
                <w:szCs w:val="28"/>
                <w:vertAlign w:val="superscript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атм</w:t>
            </w: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.в</w:t>
            </w:r>
            <w:proofErr w:type="spellEnd"/>
            <w:proofErr w:type="gramEnd"/>
          </w:p>
          <w:p w:rsidR="00512EC1" w:rsidRPr="00512EC1" w:rsidRDefault="00512EC1" w:rsidP="00512EC1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мг/м</w:t>
            </w:r>
            <w:r w:rsidRPr="00512EC1">
              <w:rPr>
                <w:rFonts w:eastAsia="Times New Roman" w:cs="Times New Roman"/>
                <w:sz w:val="28"/>
                <w:szCs w:val="28"/>
                <w:vertAlign w:val="superscript"/>
                <w:lang w:val="ru-RU"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Класс опасности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ПДКв</w:t>
            </w:r>
            <w:proofErr w:type="spell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,</w:t>
            </w:r>
          </w:p>
          <w:p w:rsidR="00512EC1" w:rsidRPr="00512EC1" w:rsidRDefault="00512EC1" w:rsidP="00512EC1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мг/л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EC1" w:rsidRPr="00512EC1" w:rsidRDefault="00512EC1" w:rsidP="00512EC1">
            <w:pPr>
              <w:spacing w:after="0"/>
              <w:ind w:left="-108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512EC1" w:rsidRPr="00512EC1" w:rsidTr="00C50F3B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eastAsia="ru-RU"/>
              </w:rPr>
              <w:t>PbO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25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0,05</w:t>
            </w:r>
          </w:p>
          <w:p w:rsidR="00512EC1" w:rsidRPr="00512EC1" w:rsidRDefault="00512EC1" w:rsidP="00512EC1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(средне сменная)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0,001 м.р.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Не </w:t>
            </w: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установлен</w:t>
            </w:r>
            <w:proofErr w:type="gram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0,01</w:t>
            </w:r>
          </w:p>
          <w:p w:rsidR="00512EC1" w:rsidRPr="00512EC1" w:rsidRDefault="00512EC1" w:rsidP="00512EC1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/16/, /17/, /22/, /24/</w:t>
            </w:r>
          </w:p>
        </w:tc>
      </w:tr>
      <w:tr w:rsidR="00512EC1" w:rsidRPr="00512EC1" w:rsidTr="00C50F3B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Со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2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О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25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0,5</w:t>
            </w:r>
          </w:p>
          <w:p w:rsidR="00512EC1" w:rsidRPr="00512EC1" w:rsidRDefault="00512EC1" w:rsidP="00512EC1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  <w:p w:rsidR="00512EC1" w:rsidRPr="00512EC1" w:rsidRDefault="00512EC1" w:rsidP="00512EC1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Не </w:t>
            </w: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установлен</w:t>
            </w:r>
            <w:proofErr w:type="gramEnd"/>
          </w:p>
          <w:p w:rsidR="00512EC1" w:rsidRPr="00512EC1" w:rsidRDefault="00512EC1" w:rsidP="00512EC1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(для металлического кобальта</w:t>
            </w:r>
            <w:proofErr w:type="gramEnd"/>
          </w:p>
          <w:p w:rsidR="00512EC1" w:rsidRPr="00512EC1" w:rsidRDefault="00512EC1" w:rsidP="00512EC1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- 0,001 м.р.)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Не </w:t>
            </w: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установлен</w:t>
            </w:r>
            <w:proofErr w:type="gram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1,0</w:t>
            </w:r>
          </w:p>
          <w:p w:rsidR="00512EC1" w:rsidRPr="00512EC1" w:rsidRDefault="00512EC1" w:rsidP="00512EC1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/22/</w:t>
            </w:r>
          </w:p>
        </w:tc>
      </w:tr>
      <w:tr w:rsidR="00512EC1" w:rsidRPr="00512EC1" w:rsidTr="00C50F3B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Титана двуокись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25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49" w:right="-113"/>
              <w:jc w:val="both"/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10,0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jc w:val="both"/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  <w:t xml:space="preserve">         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      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512EC1" w:rsidRPr="00512EC1" w:rsidTr="00C50F3B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Диоксид углерода СО</w:t>
            </w: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25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  <w:t xml:space="preserve">9000,0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jc w:val="both"/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  <w:t xml:space="preserve"> 27000 </w:t>
            </w:r>
          </w:p>
          <w:p w:rsidR="00512EC1" w:rsidRPr="00512EC1" w:rsidRDefault="00512EC1" w:rsidP="00512EC1">
            <w:pPr>
              <w:spacing w:after="0"/>
              <w:jc w:val="both"/>
              <w:rPr>
                <w:rFonts w:eastAsia="Times New Roman" w:cs="Times New Roman"/>
                <w:bCs/>
                <w:sz w:val="28"/>
                <w:szCs w:val="28"/>
                <w:vertAlign w:val="superscript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bCs/>
                <w:sz w:val="28"/>
                <w:szCs w:val="28"/>
                <w:vertAlign w:val="subscript"/>
                <w:lang w:val="ru-RU" w:eastAsia="ru-RU"/>
              </w:rPr>
              <w:t>макс</w:t>
            </w:r>
            <w:proofErr w:type="gramStart"/>
            <w:r w:rsidRPr="00512EC1">
              <w:rPr>
                <w:rFonts w:eastAsia="Times New Roman" w:cs="Times New Roman"/>
                <w:bCs/>
                <w:sz w:val="28"/>
                <w:szCs w:val="28"/>
                <w:vertAlign w:val="subscript"/>
                <w:lang w:val="ru-RU" w:eastAsia="ru-RU"/>
              </w:rPr>
              <w:t>.р</w:t>
            </w:r>
            <w:proofErr w:type="gramEnd"/>
            <w:r w:rsidRPr="00512EC1">
              <w:rPr>
                <w:rFonts w:eastAsia="Times New Roman" w:cs="Times New Roman"/>
                <w:bCs/>
                <w:sz w:val="28"/>
                <w:szCs w:val="28"/>
                <w:vertAlign w:val="subscript"/>
                <w:lang w:val="ru-RU" w:eastAsia="ru-RU"/>
              </w:rPr>
              <w:t>аз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      -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/22/, /23/</w:t>
            </w:r>
          </w:p>
        </w:tc>
      </w:tr>
    </w:tbl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Учитывая относительно небольшую массу топлива в изделии ~ 31,4 кг – при его сжигании практически не возникает реальной опасности загрязнения окружающей среды. Такая опасность существует, в основном, при утилизации больших количеств отходов топлива  на открытых площадках и при неблагоприятных метеоусловиях, способствующих локальному осаждению выбросов.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При систематических (массовых) сжиганиях изделий (испытаниях и утилизации) должны быть предусмотрены мероприятия по улову и обезвреживанию аэрозоля тяжелых металлов, например, путем улова их с помощью мокрого фильтра. Такая технология используется, например, на стенде ИС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noBreakHyphen/>
        <w:t xml:space="preserve">36 ФГУП «ФЦДТ «Союз» при исследовании скоростей горения образцов и на участке утилизации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спецотходов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зд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. 321). Для защиты органов дыхания работников, у которых возможен контакт с конденсированными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продуктами сгорания изделия ОИ700 на топливе РДГ-1, в обязательном порядке должны использоваться одноразовые респираторы типа  «Лепесток» или противогаз марки «СО» или «М», защищающие органы дыхания от окиси углерода и аэрозолей.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Данные о токсичности продуктов сгорания (после догорания газовых выбросов в атмосфере), а именно,  окислов свинца, кобальта, а также  СО</w:t>
      </w:r>
      <w:proofErr w:type="gramStart"/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>, приведены в таблице 3. Газовые выбросы при сгорании изделия ОИ700 на топливе РДГ-1, содержат окись свинца, которая относится к веществам 1 класса опасности (чрезвычайно опасные по ГОСТ 12.1.007). Воздействие вредных веществ на персонал и окружающую среду более полно характеризуется соотношением массы выделившихся продуктов и ПДК, которое можно определить как объём воздуха, необходимый для разбавления вредных выбросов до безопасного уровня.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Определим количество окислов свинца и кобальта, образующееся при сгорании изделия ОИ700 (исходя из процентного содержания в составе глета свинцового и окиси кобальта):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Масса изделия - 31,4 кг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Расчетная масса образующихся окислов свинца около 568,8 гр.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Расчетная масса окислов кобальта около 158 грамм, что в пересчете на металлический кобальт составляет 112,26 гр.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ПДК свинца для атмосферного воздуха составляет 0,001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, определяем, что объём воздуха, необходимый для разбавления аэрозоля образующихся соединений свинца до нормативного уровня, составляет: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568800 мг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: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0,001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568800000 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или 5,688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х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10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 xml:space="preserve">8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. (828,65м 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х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828,65м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х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828,65м ).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Для окиси кобальта ПДК для атмосферного воздуха не 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>разработана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. Имеется ПДК 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атм</w:t>
      </w:r>
      <w:proofErr w:type="gramStart"/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.в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для металлического кобальта, составляющая 0,001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. Исходя из этой величины, рассчитываем объем воздуха, необходимый для разбавления  окиси кобальта до нормативного уровня.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112260 мг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: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0,001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112260000 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или 1,123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х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10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 xml:space="preserve">8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. (482,4м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х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482,4м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х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482,4м ).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Оценим ориентировочный радиус рассеивания  в объеме полушария с центром расположенным в месте проведения стендовых (наземных) испытаний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eastAsia="ru-RU"/>
        </w:rPr>
        <w:t>V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для свинца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2/3 </w:t>
      </w:r>
      <w:proofErr w:type="spellStart"/>
      <w:proofErr w:type="gramStart"/>
      <w:r w:rsidRPr="00512EC1">
        <w:rPr>
          <w:rFonts w:eastAsia="Times New Roman" w:cs="Times New Roman"/>
          <w:sz w:val="28"/>
          <w:szCs w:val="28"/>
          <w:lang w:eastAsia="ru-RU"/>
        </w:rPr>
        <w:t>πR</w:t>
      </w:r>
      <w:proofErr w:type="spellEnd"/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 xml:space="preserve">3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отсюда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512EC1">
        <w:rPr>
          <w:rFonts w:eastAsia="Times New Roman" w:cs="Times New Roman"/>
          <w:sz w:val="28"/>
          <w:szCs w:val="28"/>
          <w:lang w:eastAsia="ru-RU"/>
        </w:rPr>
        <w:t>R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свинца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√ </w:t>
      </w:r>
      <w:r w:rsidRPr="00512EC1">
        <w:rPr>
          <w:rFonts w:eastAsia="Times New Roman" w:cs="Times New Roman"/>
          <w:sz w:val="28"/>
          <w:szCs w:val="28"/>
          <w:lang w:eastAsia="ru-RU"/>
        </w:rPr>
        <w:t>V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/2,0933 = 647,7 м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eastAsia="ru-RU"/>
        </w:rPr>
        <w:t>V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для кобальта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2/3 </w:t>
      </w:r>
      <w:proofErr w:type="spellStart"/>
      <w:proofErr w:type="gramStart"/>
      <w:r w:rsidRPr="00512EC1">
        <w:rPr>
          <w:rFonts w:eastAsia="Times New Roman" w:cs="Times New Roman"/>
          <w:sz w:val="28"/>
          <w:szCs w:val="28"/>
          <w:lang w:eastAsia="ru-RU"/>
        </w:rPr>
        <w:t>πR</w:t>
      </w:r>
      <w:proofErr w:type="spellEnd"/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 xml:space="preserve">3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отсюда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512EC1">
        <w:rPr>
          <w:rFonts w:eastAsia="Times New Roman" w:cs="Times New Roman"/>
          <w:sz w:val="28"/>
          <w:szCs w:val="28"/>
          <w:lang w:eastAsia="ru-RU"/>
        </w:rPr>
        <w:t>R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кобальта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√ </w:t>
      </w:r>
      <w:r w:rsidRPr="00512EC1">
        <w:rPr>
          <w:rFonts w:eastAsia="Times New Roman" w:cs="Times New Roman"/>
          <w:sz w:val="28"/>
          <w:szCs w:val="28"/>
          <w:lang w:eastAsia="ru-RU"/>
        </w:rPr>
        <w:t>V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/2,0933 = 377,1 м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Таким образом, расстояние до ближайшего населенного пункта (санитарно – защитная зона) от периметра предприятия (стенда) на котором будут осуществляться наземные испытания изделия, должен составлять не менее 647,7 м без учета возможной ветровой нагрузки.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b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ПДК окиси титана для атмосферного воздуха составляет 10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, определяем, что объём воздуха, необходимый для разбавления до нормативного уровня, составляет 3140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 xml:space="preserve">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b/>
          <w:sz w:val="28"/>
          <w:szCs w:val="28"/>
          <w:lang w:val="ru-RU" w:eastAsia="ru-RU"/>
        </w:rPr>
        <w:t xml:space="preserve">.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Ориентировочный радиус рассеивания в объеме полушария с центром расположенным в месте проведения стендовых (наземных) испытаний равен 31,14 м. Вкладом окиси титана, являющейся малотоксичным веществом, можно пренебречь.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Учитывая, что размер санитарно-защитной зоны (СЗЗ) предприятий спецхимии, полигонов и воинских частей составляет не менее </w:t>
      </w:r>
      <w:smartTag w:uri="urn:schemas-microsoft-com:office:smarttags" w:element="metricconverter">
        <w:smartTagPr>
          <w:attr w:name="ProductID" w:val="1000 м"/>
        </w:smartTagPr>
        <w:r w:rsidRPr="00512EC1">
          <w:rPr>
            <w:rFonts w:eastAsia="Times New Roman" w:cs="Times New Roman"/>
            <w:sz w:val="28"/>
            <w:szCs w:val="28"/>
            <w:lang w:val="ru-RU" w:eastAsia="ru-RU"/>
          </w:rPr>
          <w:t>1000 м</w:t>
        </w:r>
      </w:smartTag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от границы охраняемого периметра, при стендовых наземных испытаниях  происходит достаточное разбавление продуктов сгорания до уровня ПДК 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атм. воздуха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на границе СЗЗ.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Это подтверждается и многолетними результатами химико-аналитического 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>контроля за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соблюдением норм предельно-допустимых выбросов (ПДВ) нашего предприятия. 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При термическом воздействии на бронировку изделия образуются шлаки. Состав шлаков при сгорании различных изделий исследовался во ФГУП «ФЦДТ «Союз». Установлен класс опасности шлаков от сгорания изделий – 4 класс опасности (малоопасные). Утилизация шлаков производится специализированной организацией в соответствии с требованиями по утилизации отходов 4-го класса опасности и осуществляется путем захоронения на полигонах ТБО.</w:t>
      </w:r>
    </w:p>
    <w:p w:rsidR="00512EC1" w:rsidRPr="00512EC1" w:rsidRDefault="00512EC1" w:rsidP="00512EC1">
      <w:pPr>
        <w:tabs>
          <w:tab w:val="left" w:pos="1701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11.1.5</w:t>
      </w:r>
      <w:r w:rsidRPr="00512EC1">
        <w:rPr>
          <w:rFonts w:eastAsia="Times New Roman" w:cs="Times New Roman"/>
          <w:sz w:val="28"/>
          <w:szCs w:val="28"/>
          <w:lang/>
        </w:rPr>
        <w:tab/>
        <w:t xml:space="preserve">Оценка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озоноразрушающего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 действия продуктов сгорания </w:t>
      </w:r>
    </w:p>
    <w:p w:rsidR="00512EC1" w:rsidRPr="00512EC1" w:rsidRDefault="00512EC1" w:rsidP="00512EC1">
      <w:pPr>
        <w:spacing w:after="0" w:line="360" w:lineRule="auto"/>
        <w:jc w:val="both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lastRenderedPageBreak/>
        <w:t>состава РДГ-1</w:t>
      </w:r>
    </w:p>
    <w:p w:rsidR="00512EC1" w:rsidRPr="00512EC1" w:rsidRDefault="00512EC1" w:rsidP="00512EC1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В соответствии с международной конвенцией от </w:t>
      </w:r>
      <w:smartTag w:uri="urn:schemas-microsoft-com:office:smarttags" w:element="metricconverter">
        <w:smartTagPr>
          <w:attr w:name="ProductID" w:val="1989 г"/>
        </w:smartTagPr>
        <w:r w:rsidRPr="00512EC1">
          <w:rPr>
            <w:rFonts w:eastAsia="Times New Roman" w:cs="Times New Roman"/>
            <w:sz w:val="28"/>
            <w:szCs w:val="28"/>
            <w:lang w:val="ru-RU" w:eastAsia="ru-RU"/>
          </w:rPr>
          <w:t>1989 г</w:t>
        </w:r>
      </w:smartTag>
      <w:r w:rsidRPr="00512EC1">
        <w:rPr>
          <w:rFonts w:eastAsia="Times New Roman" w:cs="Times New Roman"/>
          <w:sz w:val="28"/>
          <w:szCs w:val="28"/>
          <w:lang w:val="ru-RU" w:eastAsia="ru-RU"/>
        </w:rPr>
        <w:t>. (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Монреальский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протокол) Россия обязуется принимать меры по контролю выброса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озоноразрушающих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соединений. В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Монреальском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протоколе, подписанном Россией, содержится перечень </w:t>
      </w:r>
      <w:proofErr w:type="spellStart"/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>галоген-содержащих</w:t>
      </w:r>
      <w:proofErr w:type="spellEnd"/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озоноразрушающих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соединений (раздел 1.2 протокола). Так как в состав топлива РДГ-1 не входят галогены, при их горении </w:t>
      </w:r>
      <w:proofErr w:type="spellStart"/>
      <w:r w:rsidRPr="00512EC1">
        <w:rPr>
          <w:rFonts w:eastAsia="Times New Roman" w:cs="Times New Roman"/>
          <w:sz w:val="28"/>
          <w:szCs w:val="28"/>
          <w:lang w:val="ru-RU" w:eastAsia="ru-RU"/>
        </w:rPr>
        <w:t>озоноразрушающих</w:t>
      </w:r>
      <w:proofErr w:type="spell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соединений не образуется.</w:t>
      </w:r>
    </w:p>
    <w:p w:rsidR="00512EC1" w:rsidRPr="00512EC1" w:rsidRDefault="00512EC1" w:rsidP="00512EC1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 xml:space="preserve">В связи с вышеизложенным, изделия ОИ700  на составе РДГ-1 с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бронировочным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 покрытием 230 являются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озоно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 - безопасными и не подпадают под действие международной конвенции (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Монреальского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 протокола).</w:t>
      </w:r>
    </w:p>
    <w:p w:rsidR="00512EC1" w:rsidRPr="00512EC1" w:rsidRDefault="00512EC1" w:rsidP="00512EC1">
      <w:pPr>
        <w:tabs>
          <w:tab w:val="left" w:pos="1701"/>
        </w:tabs>
        <w:spacing w:after="0" w:line="360" w:lineRule="auto"/>
        <w:ind w:firstLine="851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11.1.6</w:t>
      </w:r>
      <w:r w:rsidRPr="00512EC1">
        <w:rPr>
          <w:rFonts w:eastAsia="Times New Roman" w:cs="Times New Roman"/>
          <w:sz w:val="28"/>
          <w:szCs w:val="28"/>
          <w:lang/>
        </w:rPr>
        <w:tab/>
        <w:t xml:space="preserve">Эколого-гигиеническая характеристика компонентов дымного пороха (воспламенителя) </w:t>
      </w:r>
    </w:p>
    <w:p w:rsidR="00512EC1" w:rsidRPr="00512EC1" w:rsidRDefault="00512EC1" w:rsidP="00512EC1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В таблице 11.4 приведены токсикологические характеристики компонентов дымного пороха входящего в состав воспламенителя.</w:t>
      </w:r>
    </w:p>
    <w:p w:rsidR="00512EC1" w:rsidRPr="00512EC1" w:rsidRDefault="00512EC1" w:rsidP="00512EC1">
      <w:pPr>
        <w:spacing w:after="0" w:line="360" w:lineRule="auto"/>
        <w:ind w:firstLine="851"/>
        <w:rPr>
          <w:rFonts w:eastAsia="Times New Roman" w:cs="Times New Roman"/>
          <w:sz w:val="20"/>
          <w:szCs w:val="28"/>
          <w:lang/>
        </w:rPr>
      </w:pPr>
    </w:p>
    <w:p w:rsidR="00512EC1" w:rsidRPr="00512EC1" w:rsidRDefault="00512EC1" w:rsidP="00512EC1">
      <w:pPr>
        <w:spacing w:after="0" w:line="360" w:lineRule="auto"/>
        <w:ind w:left="1843" w:hanging="1843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Таблица 11.4 – токсикологические характеристики компонентов дымного пороха</w:t>
      </w:r>
    </w:p>
    <w:tbl>
      <w:tblPr>
        <w:tblW w:w="9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1260"/>
        <w:gridCol w:w="1080"/>
        <w:gridCol w:w="1260"/>
        <w:gridCol w:w="1080"/>
        <w:gridCol w:w="1213"/>
        <w:gridCol w:w="1112"/>
        <w:gridCol w:w="880"/>
      </w:tblGrid>
      <w:tr w:rsidR="00512EC1" w:rsidRPr="00512EC1" w:rsidTr="00C50F3B">
        <w:trPr>
          <w:cantSplit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Вещество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Воздух рабочей зоны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Атмосферный воздух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Вода водоёмов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Ссылка на источник</w:t>
            </w:r>
          </w:p>
        </w:tc>
      </w:tr>
      <w:tr w:rsidR="00512EC1" w:rsidRPr="00512EC1" w:rsidTr="00C50F3B">
        <w:trPr>
          <w:cantSplit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р</w:t>
            </w:r>
            <w:proofErr w:type="gramStart"/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.з</w:t>
            </w:r>
            <w:proofErr w:type="spellEnd"/>
            <w:proofErr w:type="gram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,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 xml:space="preserve"> 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мг/м</w:t>
            </w:r>
            <w:r w:rsidRPr="00512EC1">
              <w:rPr>
                <w:rFonts w:eastAsia="Times New Roman" w:cs="Times New Roman"/>
                <w:sz w:val="28"/>
                <w:szCs w:val="28"/>
                <w:vertAlign w:val="superscript"/>
                <w:lang w:val="ru-RU" w:eastAsia="ru-RU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Класс опасности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сс</w:t>
            </w:r>
            <w:proofErr w:type="spell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,</w:t>
            </w:r>
          </w:p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мг/м</w:t>
            </w:r>
            <w:r w:rsidRPr="00512EC1">
              <w:rPr>
                <w:rFonts w:eastAsia="Times New Roman" w:cs="Times New Roman"/>
                <w:sz w:val="28"/>
                <w:szCs w:val="28"/>
                <w:vertAlign w:val="superscript"/>
                <w:lang w:val="ru-RU" w:eastAsia="ru-RU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Класс опасности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в</w:t>
            </w:r>
            <w:proofErr w:type="spellEnd"/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, мг/л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Класс опасности</w:t>
            </w: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512EC1" w:rsidRPr="00512EC1" w:rsidTr="00C50F3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Селитра калиевая </w:t>
            </w:r>
            <w:r w:rsidRPr="00512EC1">
              <w:rPr>
                <w:rFonts w:eastAsia="Times New Roman" w:cs="Times New Roman"/>
                <w:sz w:val="28"/>
                <w:szCs w:val="28"/>
                <w:lang w:eastAsia="ru-RU"/>
              </w:rPr>
              <w:t>KNO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5,0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0,085 (по </w:t>
            </w:r>
            <w:r w:rsidRPr="00512EC1">
              <w:rPr>
                <w:rFonts w:eastAsia="Times New Roman" w:cs="Times New Roman"/>
                <w:sz w:val="28"/>
                <w:szCs w:val="28"/>
                <w:lang w:eastAsia="ru-RU"/>
              </w:rPr>
              <w:t>NO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2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3,8 (по </w:t>
            </w:r>
            <w:r w:rsidRPr="00512EC1">
              <w:rPr>
                <w:rFonts w:eastAsia="Times New Roman" w:cs="Times New Roman"/>
                <w:sz w:val="28"/>
                <w:szCs w:val="28"/>
                <w:lang w:eastAsia="ru-RU"/>
              </w:rPr>
              <w:t>NO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2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/16/, /17/, /24/,  </w:t>
            </w:r>
          </w:p>
        </w:tc>
      </w:tr>
      <w:tr w:rsidR="00512EC1" w:rsidRPr="00512EC1" w:rsidTr="00C50F3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Сера техническая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6,0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/16/</w:t>
            </w:r>
          </w:p>
        </w:tc>
      </w:tr>
      <w:tr w:rsidR="00512EC1" w:rsidRPr="00512EC1" w:rsidTr="00C50F3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Уголь древесный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4,0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EC1" w:rsidRPr="00512EC1" w:rsidRDefault="00512EC1" w:rsidP="00512EC1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/16/, /24/</w:t>
            </w:r>
          </w:p>
        </w:tc>
      </w:tr>
    </w:tbl>
    <w:p w:rsidR="00512EC1" w:rsidRPr="00512EC1" w:rsidRDefault="00512EC1" w:rsidP="00512EC1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 xml:space="preserve">В состав дымного пороха не входят высокотоксичные соединения 1 и 2 класса опасности. </w:t>
      </w:r>
    </w:p>
    <w:p w:rsidR="00512EC1" w:rsidRPr="00512EC1" w:rsidRDefault="00512EC1" w:rsidP="00512EC1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lastRenderedPageBreak/>
        <w:t xml:space="preserve">Основными рекомендациями по обеспечению экологической безопасности при производстве изделий, содержащих дымный порох,  являются: герметизация оборудования, сокращение доли ручного труда, контроль содержания вредных веществ в воздухе, использование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общеобменной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 и, при необходимости, местной вытяжной вентиляции, очистка  газовых выбросов, использование средств индивидуальной защиты.</w:t>
      </w:r>
    </w:p>
    <w:p w:rsidR="00512EC1" w:rsidRPr="00512EC1" w:rsidRDefault="00512EC1" w:rsidP="00512EC1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Учитывая небольшую массу воспламенителя (18 г) и то, что при его сжигании не образуется высокотоксичных соединений  - практически не возникает реальной опасности загрязнения окружающей среды при испытании и использовании изделий.</w:t>
      </w:r>
    </w:p>
    <w:p w:rsidR="00512EC1" w:rsidRPr="00512EC1" w:rsidRDefault="00512EC1" w:rsidP="00512EC1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/>
        </w:rPr>
      </w:pPr>
    </w:p>
    <w:p w:rsidR="00512EC1" w:rsidRPr="00512EC1" w:rsidRDefault="00512EC1" w:rsidP="00512EC1">
      <w:pPr>
        <w:tabs>
          <w:tab w:val="left" w:pos="1701"/>
        </w:tabs>
        <w:spacing w:after="0" w:line="360" w:lineRule="auto"/>
        <w:ind w:firstLine="851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11.</w:t>
      </w:r>
      <w:r w:rsidRPr="00512EC1">
        <w:rPr>
          <w:rFonts w:eastAsia="Times New Roman" w:cs="Times New Roman"/>
          <w:sz w:val="28"/>
          <w:szCs w:val="28"/>
          <w:lang w:val="ru-RU"/>
        </w:rPr>
        <w:t>2</w:t>
      </w:r>
      <w:r w:rsidRPr="00512EC1">
        <w:rPr>
          <w:rFonts w:eastAsia="Times New Roman" w:cs="Times New Roman"/>
          <w:sz w:val="28"/>
          <w:szCs w:val="28"/>
          <w:lang/>
        </w:rPr>
        <w:tab/>
        <w:t>Выводы раздела</w:t>
      </w:r>
    </w:p>
    <w:p w:rsidR="00512EC1" w:rsidRPr="00512EC1" w:rsidRDefault="00512EC1" w:rsidP="00512EC1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1</w:t>
      </w:r>
      <w:r w:rsidRPr="00512EC1">
        <w:rPr>
          <w:rFonts w:eastAsia="Times New Roman" w:cs="Times New Roman"/>
          <w:sz w:val="28"/>
          <w:szCs w:val="28"/>
          <w:lang/>
        </w:rPr>
        <w:tab/>
        <w:t xml:space="preserve">При хранении, перемещении и регламентном обслуживании изделий ОИ700 на составе РДГ-1 с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бронировочным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 покрытием ЭТАЛ</w:t>
      </w:r>
      <w:r w:rsidRPr="00512EC1">
        <w:rPr>
          <w:rFonts w:eastAsia="Times New Roman" w:cs="Times New Roman"/>
          <w:sz w:val="28"/>
          <w:szCs w:val="28"/>
          <w:lang/>
        </w:rPr>
        <w:noBreakHyphen/>
        <w:t>148ТГ</w:t>
      </w:r>
      <w:r w:rsidRPr="00512EC1">
        <w:rPr>
          <w:rFonts w:eastAsia="Times New Roman" w:cs="Times New Roman"/>
          <w:sz w:val="28"/>
          <w:szCs w:val="28"/>
          <w:lang/>
        </w:rPr>
        <w:noBreakHyphen/>
        <w:t>2Н</w:t>
      </w:r>
      <w:r w:rsidRPr="00512EC1">
        <w:rPr>
          <w:rFonts w:eastAsia="Times New Roman" w:cs="Times New Roman"/>
          <w:sz w:val="28"/>
          <w:szCs w:val="28"/>
          <w:lang/>
        </w:rPr>
        <w:noBreakHyphen/>
        <w:t>1 загрязнение окружающей среды практически отсутствует.</w:t>
      </w:r>
    </w:p>
    <w:p w:rsidR="00512EC1" w:rsidRPr="00512EC1" w:rsidRDefault="00512EC1" w:rsidP="00512EC1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2</w:t>
      </w:r>
      <w:r w:rsidRPr="00512EC1">
        <w:rPr>
          <w:rFonts w:eastAsia="Times New Roman" w:cs="Times New Roman"/>
          <w:sz w:val="28"/>
          <w:szCs w:val="28"/>
          <w:lang/>
        </w:rPr>
        <w:tab/>
        <w:t xml:space="preserve">Рекомендуется уничтожение изделия ОИ700 на составе РДГ-1 с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бронировочным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 покрытием ЭТАЛ-148ТГ-2Н-1 методом сжигания на открытых площадках или стендах. Учитывая относительно небольшую массу изделия, специальных мер по защите окружающей среды не требуется.</w:t>
      </w:r>
    </w:p>
    <w:p w:rsidR="00512EC1" w:rsidRPr="00512EC1" w:rsidRDefault="00512EC1" w:rsidP="00512EC1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3</w:t>
      </w:r>
      <w:r w:rsidRPr="00512EC1">
        <w:rPr>
          <w:rFonts w:eastAsia="Times New Roman" w:cs="Times New Roman"/>
          <w:sz w:val="28"/>
          <w:szCs w:val="28"/>
          <w:lang/>
        </w:rPr>
        <w:tab/>
        <w:t xml:space="preserve">При уничтожении  изделия ОИ700 на составе РДГ-1 с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бронировочным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 покрытием ЭТАЛ-148ТГ-2Н-1 и его стендовых испытаниях основное воздействие на окружающую среду оказывает окись свинца (1 класс опасности). Количество выделяющихся загрязняющих веществ при разовом использовании изделия не приводит к превышению норм ПДК</w:t>
      </w:r>
      <w:r w:rsidRPr="00512EC1">
        <w:rPr>
          <w:rFonts w:eastAsia="Times New Roman" w:cs="Times New Roman"/>
          <w:sz w:val="28"/>
          <w:szCs w:val="28"/>
          <w:lang w:val="ru-RU"/>
        </w:rPr>
        <w:t> </w:t>
      </w:r>
      <w:r w:rsidRPr="00512EC1">
        <w:rPr>
          <w:rFonts w:eastAsia="Times New Roman" w:cs="Times New Roman"/>
          <w:sz w:val="28"/>
          <w:szCs w:val="28"/>
          <w:vertAlign w:val="subscript"/>
          <w:lang/>
        </w:rPr>
        <w:t>атм.</w:t>
      </w:r>
      <w:r w:rsidRPr="00512EC1">
        <w:rPr>
          <w:rFonts w:eastAsia="Times New Roman" w:cs="Times New Roman"/>
          <w:sz w:val="28"/>
          <w:szCs w:val="28"/>
          <w:vertAlign w:val="subscript"/>
          <w:lang w:val="ru-RU"/>
        </w:rPr>
        <w:t> </w:t>
      </w:r>
      <w:r w:rsidRPr="00512EC1">
        <w:rPr>
          <w:rFonts w:eastAsia="Times New Roman" w:cs="Times New Roman"/>
          <w:sz w:val="28"/>
          <w:szCs w:val="28"/>
          <w:vertAlign w:val="subscript"/>
          <w:lang/>
        </w:rPr>
        <w:t xml:space="preserve">воздуха </w:t>
      </w:r>
      <w:r w:rsidRPr="00512EC1">
        <w:rPr>
          <w:rFonts w:eastAsia="Times New Roman" w:cs="Times New Roman"/>
          <w:sz w:val="28"/>
          <w:szCs w:val="28"/>
          <w:lang/>
        </w:rPr>
        <w:t>указанных веществ на границах типовой санитарно – защитной зоны (</w:t>
      </w:r>
      <w:smartTag w:uri="urn:schemas-microsoft-com:office:smarttags" w:element="metricconverter">
        <w:smartTagPr>
          <w:attr w:name="ProductID" w:val="1000 м"/>
        </w:smartTagPr>
        <w:r w:rsidRPr="00512EC1">
          <w:rPr>
            <w:rFonts w:eastAsia="Times New Roman" w:cs="Times New Roman"/>
            <w:sz w:val="28"/>
            <w:szCs w:val="28"/>
            <w:lang/>
          </w:rPr>
          <w:t>1000 м</w:t>
        </w:r>
      </w:smartTag>
      <w:r w:rsidRPr="00512EC1">
        <w:rPr>
          <w:rFonts w:eastAsia="Times New Roman" w:cs="Times New Roman"/>
          <w:sz w:val="28"/>
          <w:szCs w:val="28"/>
          <w:lang/>
        </w:rPr>
        <w:t>) предприятий и  полигонов.</w:t>
      </w:r>
    </w:p>
    <w:p w:rsidR="00512EC1" w:rsidRPr="00512EC1" w:rsidRDefault="00512EC1" w:rsidP="00512EC1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/>
        </w:rPr>
      </w:pPr>
      <w:r w:rsidRPr="00512EC1">
        <w:rPr>
          <w:rFonts w:eastAsia="Times New Roman" w:cs="Times New Roman"/>
          <w:sz w:val="28"/>
          <w:szCs w:val="28"/>
          <w:lang/>
        </w:rPr>
        <w:t>4</w:t>
      </w:r>
      <w:r w:rsidRPr="00512EC1">
        <w:rPr>
          <w:rFonts w:eastAsia="Times New Roman" w:cs="Times New Roman"/>
          <w:sz w:val="28"/>
          <w:szCs w:val="28"/>
          <w:lang/>
        </w:rPr>
        <w:tab/>
        <w:t xml:space="preserve">По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озоноразрушающему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 действию продукты сгорания изделия ОИ700 на составе РДГ-1 относятся к безопасным веществам и не входят в перечень контролируемых веществ по </w:t>
      </w:r>
      <w:proofErr w:type="spellStart"/>
      <w:r w:rsidRPr="00512EC1">
        <w:rPr>
          <w:rFonts w:eastAsia="Times New Roman" w:cs="Times New Roman"/>
          <w:sz w:val="28"/>
          <w:szCs w:val="28"/>
          <w:lang/>
        </w:rPr>
        <w:t>Монреальскому</w:t>
      </w:r>
      <w:proofErr w:type="spellEnd"/>
      <w:r w:rsidRPr="00512EC1">
        <w:rPr>
          <w:rFonts w:eastAsia="Times New Roman" w:cs="Times New Roman"/>
          <w:sz w:val="28"/>
          <w:szCs w:val="28"/>
          <w:lang/>
        </w:rPr>
        <w:t xml:space="preserve"> протоколу от </w:t>
      </w:r>
      <w:smartTag w:uri="urn:schemas-microsoft-com:office:smarttags" w:element="metricconverter">
        <w:smartTagPr>
          <w:attr w:name="ProductID" w:val="1989 г"/>
        </w:smartTagPr>
        <w:r w:rsidRPr="00512EC1">
          <w:rPr>
            <w:rFonts w:eastAsia="Times New Roman" w:cs="Times New Roman"/>
            <w:sz w:val="28"/>
            <w:szCs w:val="28"/>
            <w:lang/>
          </w:rPr>
          <w:t>1989 г</w:t>
        </w:r>
      </w:smartTag>
      <w:r w:rsidRPr="00512EC1">
        <w:rPr>
          <w:rFonts w:eastAsia="Times New Roman" w:cs="Times New Roman"/>
          <w:sz w:val="28"/>
          <w:szCs w:val="28"/>
          <w:lang/>
        </w:rPr>
        <w:t>.</w:t>
      </w:r>
    </w:p>
    <w:p w:rsidR="00512EC1" w:rsidRPr="00512EC1" w:rsidRDefault="00512EC1" w:rsidP="00512EC1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5</w:t>
      </w:r>
      <w:proofErr w:type="gramStart"/>
      <w:r w:rsidRPr="00512EC1">
        <w:rPr>
          <w:rFonts w:eastAsia="Times New Roman" w:cs="Times New Roman"/>
          <w:sz w:val="28"/>
          <w:szCs w:val="28"/>
          <w:lang w:val="ru-RU" w:eastAsia="ru-RU"/>
        </w:rPr>
        <w:tab/>
        <w:t>Д</w:t>
      </w:r>
      <w:proofErr w:type="gramEnd"/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ля защиты органов дыхания работников, у которых возможен контакт с газами, выделяющимися при  сгорании изделия ОИ700 на топливе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РДГ-1, в обязательном порядке должен использоваться респиратор «Лепесток» или противогаз марки «М», защищающий органы дыхания от окиси углерода и аэрозолей.</w:t>
      </w:r>
    </w:p>
    <w:p w:rsidR="007D5AC4" w:rsidRPr="00512EC1" w:rsidRDefault="007D5AC4" w:rsidP="00512EC1">
      <w:pPr>
        <w:rPr>
          <w:lang w:val="ru-RU"/>
        </w:rPr>
      </w:pPr>
    </w:p>
    <w:sectPr w:rsidR="007D5AC4" w:rsidRPr="00512EC1" w:rsidSect="008D14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A56A8"/>
    <w:multiLevelType w:val="hybridMultilevel"/>
    <w:tmpl w:val="72F6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16802"/>
    <w:multiLevelType w:val="hybridMultilevel"/>
    <w:tmpl w:val="C7A248A0"/>
    <w:lvl w:ilvl="0" w:tplc="564CF2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14966"/>
    <w:multiLevelType w:val="hybridMultilevel"/>
    <w:tmpl w:val="7EFAD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56EA1"/>
    <w:multiLevelType w:val="hybridMultilevel"/>
    <w:tmpl w:val="C524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43472"/>
    <w:multiLevelType w:val="hybridMultilevel"/>
    <w:tmpl w:val="64CEAF38"/>
    <w:lvl w:ilvl="0" w:tplc="863053E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603D6"/>
    <w:multiLevelType w:val="multilevel"/>
    <w:tmpl w:val="9076A12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34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14D4"/>
    <w:rsid w:val="000235FE"/>
    <w:rsid w:val="00024316"/>
    <w:rsid w:val="000268B9"/>
    <w:rsid w:val="00063273"/>
    <w:rsid w:val="000915A7"/>
    <w:rsid w:val="00096E1A"/>
    <w:rsid w:val="000C4882"/>
    <w:rsid w:val="000F6675"/>
    <w:rsid w:val="00132BA1"/>
    <w:rsid w:val="00157731"/>
    <w:rsid w:val="00157E32"/>
    <w:rsid w:val="0018212F"/>
    <w:rsid w:val="001C785F"/>
    <w:rsid w:val="001D4E11"/>
    <w:rsid w:val="001E5D4E"/>
    <w:rsid w:val="001F2E17"/>
    <w:rsid w:val="002475C8"/>
    <w:rsid w:val="00265E95"/>
    <w:rsid w:val="002A7780"/>
    <w:rsid w:val="002B028D"/>
    <w:rsid w:val="003066E7"/>
    <w:rsid w:val="00314445"/>
    <w:rsid w:val="003364D6"/>
    <w:rsid w:val="0038353E"/>
    <w:rsid w:val="003A3C10"/>
    <w:rsid w:val="003A6D23"/>
    <w:rsid w:val="003E2679"/>
    <w:rsid w:val="00403694"/>
    <w:rsid w:val="00414A46"/>
    <w:rsid w:val="00417156"/>
    <w:rsid w:val="00420D66"/>
    <w:rsid w:val="004465C3"/>
    <w:rsid w:val="0047610D"/>
    <w:rsid w:val="004B5E64"/>
    <w:rsid w:val="00512EC1"/>
    <w:rsid w:val="005840E5"/>
    <w:rsid w:val="005A22BB"/>
    <w:rsid w:val="005C6A6F"/>
    <w:rsid w:val="00623408"/>
    <w:rsid w:val="00625DE4"/>
    <w:rsid w:val="0063435A"/>
    <w:rsid w:val="006635C9"/>
    <w:rsid w:val="00696BD8"/>
    <w:rsid w:val="00697B23"/>
    <w:rsid w:val="006B6D5F"/>
    <w:rsid w:val="006F71D3"/>
    <w:rsid w:val="006F7F94"/>
    <w:rsid w:val="00712AD2"/>
    <w:rsid w:val="00771087"/>
    <w:rsid w:val="00774635"/>
    <w:rsid w:val="007D5AC4"/>
    <w:rsid w:val="007E3AD0"/>
    <w:rsid w:val="008727C8"/>
    <w:rsid w:val="00893891"/>
    <w:rsid w:val="008A0DCE"/>
    <w:rsid w:val="008B7995"/>
    <w:rsid w:val="008C47ED"/>
    <w:rsid w:val="008D14D4"/>
    <w:rsid w:val="00902C24"/>
    <w:rsid w:val="00920DB5"/>
    <w:rsid w:val="00992D7D"/>
    <w:rsid w:val="00995882"/>
    <w:rsid w:val="009B4B1D"/>
    <w:rsid w:val="009F326B"/>
    <w:rsid w:val="00A0458D"/>
    <w:rsid w:val="00A263AA"/>
    <w:rsid w:val="00A3468B"/>
    <w:rsid w:val="00A41588"/>
    <w:rsid w:val="00A51B64"/>
    <w:rsid w:val="00A63378"/>
    <w:rsid w:val="00A83476"/>
    <w:rsid w:val="00AC0FE7"/>
    <w:rsid w:val="00AD490E"/>
    <w:rsid w:val="00B7467F"/>
    <w:rsid w:val="00BA5414"/>
    <w:rsid w:val="00BD053A"/>
    <w:rsid w:val="00BE42CB"/>
    <w:rsid w:val="00BE7A61"/>
    <w:rsid w:val="00C201FB"/>
    <w:rsid w:val="00C40431"/>
    <w:rsid w:val="00C43618"/>
    <w:rsid w:val="00C9716A"/>
    <w:rsid w:val="00D05E68"/>
    <w:rsid w:val="00D11B49"/>
    <w:rsid w:val="00D160A2"/>
    <w:rsid w:val="00DC707A"/>
    <w:rsid w:val="00E33A62"/>
    <w:rsid w:val="00E5597A"/>
    <w:rsid w:val="00E60181"/>
    <w:rsid w:val="00E64E9C"/>
    <w:rsid w:val="00E9713B"/>
    <w:rsid w:val="00EA22E3"/>
    <w:rsid w:val="00EA455E"/>
    <w:rsid w:val="00EB3944"/>
    <w:rsid w:val="00EC0063"/>
    <w:rsid w:val="00ED6AA9"/>
    <w:rsid w:val="00ED6AD2"/>
    <w:rsid w:val="00EE2D06"/>
    <w:rsid w:val="00F0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14D4"/>
    <w:rPr>
      <w:rFonts w:ascii="Times New Roman" w:eastAsiaTheme="minorEastAsia" w:hAnsi="Times New Roman"/>
      <w:sz w:val="24"/>
      <w:lang w:val="en-US"/>
    </w:rPr>
  </w:style>
  <w:style w:type="paragraph" w:styleId="10">
    <w:name w:val="heading 1"/>
    <w:basedOn w:val="a0"/>
    <w:next w:val="a0"/>
    <w:link w:val="11"/>
    <w:uiPriority w:val="9"/>
    <w:qFormat/>
    <w:rsid w:val="008D14D4"/>
    <w:pPr>
      <w:keepNext/>
      <w:keepLines/>
      <w:spacing w:before="280" w:after="14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D14D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customStyle="1" w:styleId="a4">
    <w:name w:val="!ОснТекст"/>
    <w:basedOn w:val="a0"/>
    <w:link w:val="a5"/>
    <w:qFormat/>
    <w:rsid w:val="008D14D4"/>
    <w:pPr>
      <w:spacing w:after="0" w:line="360" w:lineRule="auto"/>
      <w:ind w:firstLine="709"/>
      <w:jc w:val="both"/>
    </w:pPr>
    <w:rPr>
      <w:rFonts w:eastAsia="Calibri" w:cs="Times New Roman"/>
      <w:szCs w:val="24"/>
    </w:rPr>
  </w:style>
  <w:style w:type="paragraph" w:customStyle="1" w:styleId="a">
    <w:name w:val="!Ненумерованный список"/>
    <w:basedOn w:val="a4"/>
    <w:qFormat/>
    <w:rsid w:val="008D14D4"/>
    <w:pPr>
      <w:numPr>
        <w:numId w:val="1"/>
      </w:numPr>
      <w:tabs>
        <w:tab w:val="num" w:pos="360"/>
      </w:tabs>
      <w:ind w:left="709" w:hanging="425"/>
      <w:contextualSpacing/>
    </w:pPr>
  </w:style>
  <w:style w:type="character" w:customStyle="1" w:styleId="a5">
    <w:name w:val="!ОснТекст Знак"/>
    <w:basedOn w:val="a1"/>
    <w:link w:val="a4"/>
    <w:rsid w:val="008D14D4"/>
    <w:rPr>
      <w:rFonts w:ascii="Times New Roman" w:eastAsia="Calibri" w:hAnsi="Times New Roman" w:cs="Times New Roman"/>
      <w:sz w:val="24"/>
      <w:szCs w:val="24"/>
      <w:lang w:val="en-US"/>
    </w:rPr>
  </w:style>
  <w:style w:type="paragraph" w:styleId="a6">
    <w:name w:val="Balloon Text"/>
    <w:basedOn w:val="a0"/>
    <w:link w:val="a7"/>
    <w:uiPriority w:val="99"/>
    <w:semiHidden/>
    <w:unhideWhenUsed/>
    <w:rsid w:val="008D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D14D4"/>
    <w:rPr>
      <w:rFonts w:ascii="Tahoma" w:eastAsiaTheme="minorEastAsia" w:hAnsi="Tahoma" w:cs="Tahoma"/>
      <w:sz w:val="16"/>
      <w:szCs w:val="16"/>
      <w:lang w:val="en-US"/>
    </w:rPr>
  </w:style>
  <w:style w:type="paragraph" w:styleId="a8">
    <w:name w:val="List Paragraph"/>
    <w:basedOn w:val="a0"/>
    <w:link w:val="a9"/>
    <w:uiPriority w:val="34"/>
    <w:qFormat/>
    <w:rsid w:val="00024316"/>
    <w:pPr>
      <w:ind w:left="720"/>
      <w:contextualSpacing/>
    </w:pPr>
  </w:style>
  <w:style w:type="paragraph" w:customStyle="1" w:styleId="aa">
    <w:name w:val="!Формулы"/>
    <w:basedOn w:val="a4"/>
    <w:link w:val="ab"/>
    <w:qFormat/>
    <w:rsid w:val="004B5E64"/>
    <w:pPr>
      <w:spacing w:before="200" w:after="200"/>
      <w:contextualSpacing/>
    </w:pPr>
    <w:rPr>
      <w:rFonts w:ascii="Cambria Math" w:hAnsi="Cambria Math"/>
    </w:rPr>
  </w:style>
  <w:style w:type="character" w:customStyle="1" w:styleId="ab">
    <w:name w:val="!Формулы Знак"/>
    <w:basedOn w:val="a1"/>
    <w:link w:val="aa"/>
    <w:rsid w:val="004B5E64"/>
    <w:rPr>
      <w:rFonts w:ascii="Cambria Math" w:eastAsia="Calibri" w:hAnsi="Cambria Math" w:cs="Times New Roman"/>
      <w:sz w:val="24"/>
      <w:szCs w:val="24"/>
      <w:lang w:val="en-US"/>
    </w:rPr>
  </w:style>
  <w:style w:type="character" w:customStyle="1" w:styleId="a9">
    <w:name w:val="Абзац списка Знак"/>
    <w:basedOn w:val="a1"/>
    <w:link w:val="a8"/>
    <w:uiPriority w:val="34"/>
    <w:rsid w:val="004B5E64"/>
    <w:rPr>
      <w:rFonts w:ascii="Times New Roman" w:eastAsiaTheme="minorEastAsia" w:hAnsi="Times New Roman"/>
      <w:sz w:val="24"/>
      <w:lang w:val="en-US"/>
    </w:rPr>
  </w:style>
  <w:style w:type="paragraph" w:customStyle="1" w:styleId="1">
    <w:name w:val="Стиль1"/>
    <w:basedOn w:val="a8"/>
    <w:link w:val="12"/>
    <w:qFormat/>
    <w:rsid w:val="004B5E64"/>
    <w:pPr>
      <w:numPr>
        <w:numId w:val="6"/>
      </w:numPr>
      <w:spacing w:line="360" w:lineRule="auto"/>
      <w:jc w:val="both"/>
    </w:pPr>
    <w:rPr>
      <w:rFonts w:eastAsiaTheme="minorHAnsi"/>
      <w:sz w:val="28"/>
      <w:szCs w:val="28"/>
      <w:lang w:val="ru-RU"/>
    </w:rPr>
  </w:style>
  <w:style w:type="character" w:customStyle="1" w:styleId="12">
    <w:name w:val="Стиль1 Знак"/>
    <w:basedOn w:val="a9"/>
    <w:link w:val="1"/>
    <w:rsid w:val="004B5E64"/>
    <w:rPr>
      <w:sz w:val="28"/>
      <w:szCs w:val="28"/>
    </w:rPr>
  </w:style>
  <w:style w:type="table" w:styleId="ac">
    <w:name w:val="Table Grid"/>
    <w:basedOn w:val="a2"/>
    <w:uiPriority w:val="59"/>
    <w:rsid w:val="0006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1"/>
    <w:uiPriority w:val="99"/>
    <w:semiHidden/>
    <w:rsid w:val="000632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47</cp:revision>
  <cp:lastPrinted>2019-04-12T05:55:00Z</cp:lastPrinted>
  <dcterms:created xsi:type="dcterms:W3CDTF">2019-02-11T04:59:00Z</dcterms:created>
  <dcterms:modified xsi:type="dcterms:W3CDTF">2019-04-12T05:56:00Z</dcterms:modified>
</cp:coreProperties>
</file>