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Base de datos y pruebas de carga – Monitoreo ambiental en tiempo real</w:t>
      </w:r>
    </w:p>
    <w:p>
      <w:pPr/>
      <w:r>
        <w:t>Elaboró: Gutiérrez Ponce Sebastián (Dev Team – Base de Datos) · Equipo 2 · Programación Concurrente, UVM Campus San Rafael · Documento iniciado el 07/10/2026; actualización 22/10/2026.</w:t>
      </w:r>
    </w:p>
    <w:p>
      <w:pPr>
        <w:pStyle w:val="Heading2"/>
      </w:pPr>
      <w:r>
        <w:t xml:space="preserve">1. Resumen</w:t>
      </w:r>
    </w:p>
    <w:p>
      <w:pPr/>
      <w:r>
        <w:t xml:space="preserve">Este documento explica, paso a paso, el trabajo de base de datos realizado para el proyecto de monitoreo ambiental: qué se construyó, por qué se tomaron ciertas decisiones y cómo reproducirlo en cualquier computadora del equipo.</w:t>
      </w:r>
    </w:p>
    <w:p>
      <w:pPr/>
      <w:r>
        <w:t xml:space="preserve">En pocas palabras, se hizo lo siguiente:</w:t>
      </w:r>
    </w:p>
    <w:p>
      <w:pPr>
        <w:pStyle w:val="ListParagraph"/>
        <w:numPr>
          <w:ilvl w:val="0"/>
          <w:numId w:val="2"/>
        </w:numPr>
      </w:pPr>
      <w:r>
        <w:t xml:space="preserve">Se diseñó e implementó el esquema en MySQL 8 con cuatro tablas: sensores, lecturas, umbrales y alertas.</w:t>
      </w:r>
    </w:p>
    <w:p>
      <w:pPr>
        <w:pStyle w:val="ListParagraph"/>
        <w:numPr>
          <w:ilvl w:val="0"/>
          <w:numId w:val="2"/>
        </w:numPr>
      </w:pPr>
      <w:r>
        <w:t xml:space="preserve">Se validó que las transacciones guardan una lectura junto con su alerta de forma atómica y que las lecturas duplicadas se rechazan.</w:t>
      </w:r>
    </w:p>
    <w:p>
      <w:pPr>
        <w:pStyle w:val="ListParagraph"/>
        <w:numPr>
          <w:ilvl w:val="0"/>
          <w:numId w:val="2"/>
        </w:numPr>
      </w:pPr>
      <w:r>
        <w:t xml:space="preserve">Se ligaron los límites de alerta a normas oficiales aprobadas por el profesor: NOM-025-SSA1-2021 (PM2.5), NOM-010-STPS-2014 (CO₂) y NOM-015-STPS-2001 (temperatura).</w:t>
      </w:r>
    </w:p>
    <w:p>
      <w:pPr>
        <w:pStyle w:val="ListParagraph"/>
        <w:numPr>
          <w:ilvl w:val="0"/>
          <w:numId w:val="2"/>
        </w:numPr>
      </w:pPr>
      <w:r>
        <w:t xml:space="preserve">Se crearon scripts para generar datos de prueba masivos y para simular N sensores escribiendo al mismo tiempo (N hilos).</w:t>
      </w:r>
    </w:p>
    <w:p>
      <w:pPr>
        <w:pStyle w:val="ListParagraph"/>
        <w:numPr>
          <w:ilvl w:val="0"/>
          <w:numId w:val="2"/>
        </w:numPr>
      </w:pPr>
      <w:r>
        <w:t>La ejecución MySQL más reciente (14/10/2026), con 20 hilos/sensores × 500 intentos (10 000 intentos), registró 9 500 lecturas, 2 627 alertas, 500 duplicados esperados, cero reintentos por deadlock y cero errores inesperados. La verificación encontró cero alertas huérfanas; el detalle está en docs/informe_pruebas.md.</w:t>
      </w:r>
    </w:p>
    <w:p>
      <w:pPr/>
      <w:r>
        <w:t>Estado de la instancia local al 15/10/2026: después de conservar la evidencia de carga, se eliminaron 15 040 alertas y 32 344 lecturas; ambas tablas quedaron en cero. Se conservaron tablas, sensores y umbrales. La API mostrará el historial vacío hasta que vuelvan a ejecutarse productores. Para el procedimiento opcional y seguro de limpieza, consulta docs/manual_usuario.md o src/database/README.md.</w:t>
      </w:r>
    </w:p>
    <w:p>
      <w:pPr/>
      <w:r>
        <w:t>Los archivos principales son schema.sql, datos_prueba.sql y carga_concurrente.py. Para una base existente, actualizar_umbrales_verificados.sql es una actualización opcional que requiere ejecución explícita; quien empieza desde cero puede crear el esquema con schema.sql.</w:t>
      </w:r>
      <w:r>
        <w:rPr>
          <w:rStyle w:val="CodeChar"/>
        </w:rPr>
      </w:r>
      <w:r/>
      <w:r>
        <w:rPr>
          <w:rStyle w:val="CodeChar"/>
        </w:rPr>
      </w:r>
      <w:r/>
      <w:r>
        <w:rPr>
          <w:rStyle w:val="CodeChar"/>
        </w:rPr>
      </w:r>
      <w:r/>
      <w:r>
        <w:rPr>
          <w:rStyle w:val="CodeChar"/>
        </w:rPr>
      </w:r>
      <w:r/>
    </w:p>
    <w:p>
      <w:pPr>
        <w:pStyle w:val="Heading2"/>
      </w:pPr>
      <w:r>
        <w:t xml:space="preserve">2. Dónde encaja la base de datos en el proyecto</w:t>
      </w:r>
    </w:p>
    <w:p>
      <w:pPr/>
      <w:r>
        <w:t xml:space="preserve">La arquitectura del proyecto (sección 5 del Documento de Justificación) sigue este flujo:</w:t>
      </w:r>
    </w:p>
    <w:p>
      <w:pPr/>
      <w:r>
        <w:t>Ruta C++: simulador ? hilos productores ? cola concurrente ? pool de consumidores ? DatabaseManager ? MySQL.</w:t>
        <w:br/>
        <w:t>Ruta MQTT: simulador/publicador ? broker Mosquitto ? ingestor MQTT de FastAPI ? MySQL.</w:t>
        <w:br/>
        <w:t>Consulta: MySQL ? FastAPI (REST/WebSocket) ? dashboard.</w:t>
      </w:r>
    </w:p>
    <w:p>
      <w:pPr/>
      <w:r>
        <w:t xml:space="preserve">La base de datos es el punto donde los datos se vuelven permanentes. Dos equipos dependen directamente de ella:</w:t>
      </w:r>
    </w:p>
    <w:p>
      <w:pPr>
        <w:pStyle w:val="ListParagraph"/>
        <w:numPr>
          <w:ilvl w:val="0"/>
          <w:numId w:val="3"/>
        </w:numPr>
      </w:pPr>
      <w:r>
        <w:t xml:space="preserve">El equipo del núcleo concurrente: sus hilos consumidores escriben en la base a través de la clase DatabaseManager del UML (métodos guardarLecturaTransaccional y registrarAlerta).</w:t>
      </w:r>
    </w:p>
    <w:p>
      <w:pPr>
        <w:pStyle w:val="ListParagraph"/>
        <w:numPr>
          <w:ilvl w:val="0"/>
          <w:numId w:val="3"/>
        </w:numPr>
      </w:pPr>
      <w:r>
        <w:t xml:space="preserve">El equipo de servicio y red: FastAPI lee de la base para exponer rutas como /alertas y /estado-clima, y el dashboard consume esas rutas.</w:t>
      </w:r>
    </w:p>
    <w:p>
      <w:pPr/>
      <w:r>
        <w:t xml:space="preserve">En el cronograma, el diseño del esquema corresponde a la Semana 3 (Sprint 2) y la persistencia transaccional con pruebas de carga a la Semana 4. En el Product Backlog, el trabajo se vincula con la historia de usuario 5: guardar cada lectura de forma transaccional para evitar inconsistencias si dos sensores envían datos al mismo milisegundo.</w:t>
      </w:r>
    </w:p>
    <w:p>
      <w:pPr/>
      <w:r>
        <w:t>Importante: la página web nunca se conecta directamente a MySQL. El navegador habla con FastAPI, y FastAPI habla con MySQL. Así las credenciales de la base nunca quedan expuestas al usuario. Docker Compose ejecuta solo Mosquitto para la ruta MQTT; MySQL es un servicio separado y conserva sus datos aunque el broker se detenga. La ruta C++ directa a MySQL no necesita Docker. WebSocket mantiene un canal abierto entre FastAPI y el navegador para enviar snapshots JSON del estado y las alertas que FastAPI obtiene de MySQL, aproximadamente cada 2 s. WebSocket no es la base de datos ni guarda lecturas; REST carga el estado inicial y el historial y sirve temporalmente si el canal se reconecta.</w:t>
      </w:r>
    </w:p>
    <w:p>
      <w:pPr>
        <w:pStyle w:val="Heading2"/>
      </w:pPr>
      <w:r>
        <w:t xml:space="preserve">3. El esquema de la base de datos</w:t>
      </w:r>
    </w:p>
    <w:p>
      <w:pPr/>
      <w:r>
        <w:t xml:space="preserve">La base se llama monitoreo_ambiental y usa el motor InnoDB, que soporta transacciones ACID y llaves foráneas. Todos los timestamps se guardan en UTC, igual que el formato ISO 8601 del JSON de métricas.</w:t>
      </w:r>
    </w:p>
    <w:p>
      <w:pPr>
        <w:pStyle w:val="Heading3"/>
      </w:pPr>
      <w:r>
        <w:t xml:space="preserve">3.1 Tabla sensores</w:t>
      </w:r>
    </w:p>
    <w:p>
      <w:pPr/>
      <w:r>
        <w:t xml:space="preserve">Catálogo de dispositivos. La llave primaria es sensor_id (por ejemplo sensor_01), el mismo identificador que viene en el JSON. Guarda además nombre, ubicación, coordenadas, si está activo y la fecha de registro.</w:t>
      </w:r>
    </w:p>
    <w:p>
      <w:pPr>
        <w:pStyle w:val="Heading3"/>
      </w:pPr>
      <w:r>
        <w:t xml:space="preserve">3.2 Tabla lecturas</w:t>
      </w:r>
    </w:p>
    <w:p>
      <w:pPr/>
      <w:r>
        <w:t xml:space="preserve">Es la tabla de mayor volumen de escritura: una fila por medición.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Columna</w:t>
            </w:r>
          </w:p>
        </w:tc>
        <w:tc>
          <w:tcPr>
            <w:tcW w:w="3120" w:type="dxa"/>
            <w:shd w:val="clear" w:color="auto" w:fill="F2F2F2"/>
          </w:tcPr>
          <w:p>
            <w:pPr/>
            <w:r>
              <w:t xml:space="preserve">Tipo</w:t>
            </w:r>
          </w:p>
        </w:tc>
        <w:tc>
          <w:tcPr>
            <w:tcW w:w="3120" w:type="dxa"/>
            <w:shd w:val="clear" w:color="auto" w:fill="F2F2F2"/>
          </w:tcPr>
          <w:p>
            <w:pPr/>
            <w:r>
              <w:t xml:space="preserve">Para qué sirve</w:t>
            </w:r>
          </w:p>
        </w:tc>
      </w:tr>
      <w:tr>
        <w:tc>
          <w:tcPr>
            <w:tcW w:w="3120" w:type="dxa"/>
          </w:tcPr>
          <w:p>
            <w:pPr/>
            <w:r>
              <w:t xml:space="preserve">lectura_id</w:t>
            </w:r>
          </w:p>
        </w:tc>
        <w:tc>
          <w:tcPr>
            <w:tcW w:w="3120" w:type="dxa"/>
          </w:tcPr>
          <w:p>
            <w:pPr/>
            <w:r>
              <w:t xml:space="preserve">BIGINT, autoincremental</w:t>
            </w:r>
          </w:p>
        </w:tc>
        <w:tc>
          <w:tcPr>
            <w:tcW w:w="3120" w:type="dxa"/>
          </w:tcPr>
          <w:p>
            <w:pPr/>
            <w:r>
              <w:t xml:space="preserve">Llave primaria</w:t>
            </w:r>
          </w:p>
        </w:tc>
      </w:tr>
      <w:tr>
        <w:tc>
          <w:tcPr>
            <w:tcW w:w="3120" w:type="dxa"/>
          </w:tcPr>
          <w:p>
            <w:pPr/>
            <w:r>
              <w:t xml:space="preserve">sensor_id</w:t>
            </w:r>
          </w:p>
        </w:tc>
        <w:tc>
          <w:tcPr>
            <w:tcW w:w="3120" w:type="dxa"/>
          </w:tcPr>
          <w:p>
            <w:pPr/>
            <w:r>
              <w:t xml:space="preserve">VARCHAR(50)</w:t>
            </w:r>
          </w:p>
        </w:tc>
        <w:tc>
          <w:tcPr>
            <w:tcW w:w="3120" w:type="dxa"/>
          </w:tcPr>
          <w:p>
            <w:pPr/>
            <w:r>
              <w:t xml:space="preserve">Llave foránea hacia sensores</w:t>
            </w:r>
          </w:p>
        </w:tc>
      </w:tr>
      <w:tr>
        <w:tc>
          <w:tcPr>
            <w:tcW w:w="3120" w:type="dxa"/>
          </w:tcPr>
          <w:p>
            <w:pPr/>
            <w:r>
              <w:t xml:space="preserve">pm25</w:t>
            </w:r>
          </w:p>
        </w:tc>
        <w:tc>
          <w:tcPr>
            <w:tcW w:w="3120" w:type="dxa"/>
          </w:tcPr>
          <w:p>
            <w:pPr/>
            <w:r>
              <w:t xml:space="preserve">DECIMAL(6,2)</w:t>
            </w:r>
          </w:p>
        </w:tc>
        <w:tc>
          <w:tcPr>
            <w:tcW w:w="3120" w:type="dxa"/>
          </w:tcPr>
          <w:p>
            <w:pPr/>
            <w:r>
              <w:t xml:space="preserve">Partículas finas en µg/m³</w:t>
            </w:r>
          </w:p>
        </w:tc>
      </w:tr>
      <w:tr>
        <w:tc>
          <w:tcPr>
            <w:tcW w:w="3120" w:type="dxa"/>
          </w:tcPr>
          <w:p>
            <w:pPr/>
            <w:r>
              <w:t xml:space="preserve">co2</w:t>
            </w:r>
          </w:p>
        </w:tc>
        <w:tc>
          <w:tcPr>
            <w:tcW w:w="3120" w:type="dxa"/>
          </w:tcPr>
          <w:p>
            <w:pPr/>
            <w:r>
              <w:t xml:space="preserve">DECIMAL(7,2)</w:t>
            </w:r>
          </w:p>
        </w:tc>
        <w:tc>
          <w:tcPr>
            <w:tcW w:w="3120" w:type="dxa"/>
          </w:tcPr>
          <w:p>
            <w:pPr/>
            <w:r>
              <w:t xml:space="preserve">Dióxido de carbono en ppm</w:t>
            </w:r>
          </w:p>
        </w:tc>
      </w:tr>
      <w:tr>
        <w:tc>
          <w:tcPr>
            <w:tcW w:w="3120" w:type="dxa"/>
          </w:tcPr>
          <w:p>
            <w:pPr/>
            <w:r>
              <w:t xml:space="preserve">tmp</w:t>
            </w:r>
          </w:p>
        </w:tc>
        <w:tc>
          <w:tcPr>
            <w:tcW w:w="3120" w:type="dxa"/>
          </w:tcPr>
          <w:p>
            <w:pPr/>
            <w:r>
              <w:t xml:space="preserve">DECIMAL(5,2)</w:t>
            </w:r>
          </w:p>
        </w:tc>
        <w:tc>
          <w:tcPr>
            <w:tcW w:w="3120" w:type="dxa"/>
          </w:tcPr>
          <w:p>
            <w:pPr/>
            <w:r>
              <w:t xml:space="preserve">Temperatura en °C</w:t>
            </w:r>
          </w:p>
        </w:tc>
      </w:tr>
      <w:tr>
        <w:tc>
          <w:tcPr>
            <w:tcW w:w="3120" w:type="dxa"/>
          </w:tcPr>
          <w:p>
            <w:pPr/>
            <w:r>
              <w:t xml:space="preserve">timestamp_lectura</w:t>
            </w:r>
          </w:p>
        </w:tc>
        <w:tc>
          <w:tcPr>
            <w:tcW w:w="3120" w:type="dxa"/>
          </w:tcPr>
          <w:p>
            <w:pPr/>
            <w:r>
              <w:t xml:space="preserve">DATETIME(3)</w:t>
            </w:r>
          </w:p>
        </w:tc>
        <w:tc>
          <w:tcPr>
            <w:tcW w:w="3120" w:type="dxa"/>
          </w:tcPr>
          <w:p>
            <w:pPr/>
            <w:r>
              <w:t xml:space="preserve">Momento en que el sensor midió (UTC, con milisegundos)</w:t>
            </w:r>
          </w:p>
        </w:tc>
      </w:tr>
      <w:tr>
        <w:tc>
          <w:tcPr>
            <w:tcW w:w="3120" w:type="dxa"/>
          </w:tcPr>
          <w:p>
            <w:pPr/>
            <w:r>
              <w:t xml:space="preserve">timestamp_ingesta</w:t>
            </w:r>
          </w:p>
        </w:tc>
        <w:tc>
          <w:tcPr>
            <w:tcW w:w="3120" w:type="dxa"/>
          </w:tcPr>
          <w:p>
            <w:pPr/>
            <w:r>
              <w:t xml:space="preserve">DATETIME(3)</w:t>
            </w:r>
          </w:p>
        </w:tc>
        <w:tc>
          <w:tcPr>
            <w:tcW w:w="3120" w:type="dxa"/>
          </w:tcPr>
          <w:p>
            <w:pPr/>
            <w:r>
              <w:t xml:space="preserve">Momento en que el servidor la recibió (se llena solo)</w:t>
            </w:r>
          </w:p>
        </w:tc>
      </w:tr>
    </w:tbl>
    <w:p>
      <w:pPr/>
      <w:r>
        <w:t xml:space="preserve">Nota: en el JSON la clave se llama "pm2.5", pero en SQL la columna se llama pm25 porque el punto no es válido en nombres de columna. El equipo que arme el INSERT desde C++ debe hacer esa traducción.</w:t>
      </w:r>
    </w:p>
    <w:p>
      <w:pPr/>
      <w:r>
        <w:t xml:space="preserve">Esta tabla tiene dos protecciones importantes:</w:t>
      </w:r>
    </w:p>
    <w:p>
      <w:pPr>
        <w:pStyle w:val="ListParagraph"/>
        <w:numPr>
          <w:ilvl w:val="0"/>
          <w:numId w:val="4"/>
        </w:numPr>
      </w:pPr>
      <w:r>
        <w:t xml:space="preserve">Una restricción única sobre (sensor_id, timestamp_lectura). Un mismo sensor no puede tener dos lecturas en el mismo instante. Si un hilo reintenta enviar la misma lectura, la base la rechaza en lugar de duplicarla.</w:t>
      </w:r>
    </w:p>
    <w:p>
      <w:pPr>
        <w:pStyle w:val="ListParagraph"/>
        <w:numPr>
          <w:ilvl w:val="0"/>
          <w:numId w:val="4"/>
        </w:numPr>
      </w:pPr>
      <w:r>
        <w:t xml:space="preserve">Un índice por timestamp_lectura, para que las consultas por rango de tiempo (por ejemplo, el promedio de las últimas 24 horas) sean rápidas.</w:t>
      </w:r>
    </w:p>
    <w:p>
      <w:pPr>
        <w:pStyle w:val="Heading3"/>
      </w:pPr>
      <w:r>
        <w:t xml:space="preserve">3.3 Tabla umbrales</w:t>
      </w:r>
    </w:p>
    <w:p>
      <w:pPr/>
      <w:r>
        <w:t xml:space="preserve">Guarda los límites a partir de los cuales una medición se considera peligrosa. Se decidió ponerlos en la base de datos y no escribirlos fijos en el código C++, para poder cambiarlos sin recompilar el programa.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Columna</w:t>
            </w:r>
          </w:p>
        </w:tc>
        <w:tc>
          <w:tcPr>
            <w:tcW w:w="4680" w:type="dxa"/>
            <w:shd w:val="clear" w:color="auto" w:fill="F2F2F2"/>
          </w:tcPr>
          <w:p>
            <w:pPr/>
            <w:r>
              <w:t xml:space="preserve">Significado</w:t>
            </w:r>
          </w:p>
        </w:tc>
      </w:tr>
      <w:tr>
        <w:tc>
          <w:tcPr>
            <w:tcW w:w="4680" w:type="dxa"/>
          </w:tcPr>
          <w:p>
            <w:pPr/>
            <w:r>
              <w:t xml:space="preserve">metrica</w:t>
            </w:r>
          </w:p>
        </w:tc>
        <w:tc>
          <w:tcPr>
            <w:tcW w:w="4680" w:type="dxa"/>
          </w:tcPr>
          <w:p>
            <w:pPr/>
            <w:r>
              <w:t xml:space="preserve">pm25, co2 o tmp</w:t>
            </w:r>
          </w:p>
        </w:tc>
      </w:tr>
      <w:tr>
        <w:tc>
          <w:tcPr>
            <w:tcW w:w="4680" w:type="dxa"/>
          </w:tcPr>
          <w:p>
            <w:pPr/>
            <w:r>
              <w:t xml:space="preserve">nivel</w:t>
            </w:r>
          </w:p>
        </w:tc>
        <w:tc>
          <w:tcPr>
            <w:tcW w:w="4680" w:type="dxa"/>
          </w:tcPr>
          <w:p>
            <w:pPr/>
            <w:r>
              <w:t xml:space="preserve">advertencia o critico</w:t>
            </w:r>
          </w:p>
        </w:tc>
      </w:tr>
      <w:tr>
        <w:tc>
          <w:tcPr>
            <w:tcW w:w="4680" w:type="dxa"/>
          </w:tcPr>
          <w:p>
            <w:pPr/>
            <w:r>
              <w:t xml:space="preserve">aplica_a</w:t>
            </w:r>
          </w:p>
        </w:tc>
        <w:tc>
          <w:tcPr>
            <w:tcW w:w="4680" w:type="dxa"/>
          </w:tcPr>
          <w:p>
            <w:pPr/>
            <w:r>
              <w:t xml:space="preserve">lectura (se compara contra cada lectura puntual), promedio_8h o promedio_24h (se compara contra el promedio móvil de 8 o 24 horas, según la norma)</w:t>
            </w:r>
          </w:p>
        </w:tc>
      </w:tr>
      <w:tr>
        <w:tc>
          <w:tcPr>
            <w:tcW w:w="4680" w:type="dxa"/>
          </w:tcPr>
          <w:p>
            <w:pPr/>
            <w:r>
              <w:t xml:space="preserve">valor_limite</w:t>
            </w:r>
          </w:p>
        </w:tc>
        <w:tc>
          <w:tcPr>
            <w:tcW w:w="4680" w:type="dxa"/>
          </w:tcPr>
          <w:p>
            <w:pPr/>
            <w:r>
              <w:t xml:space="preserve">El número del límite</w:t>
            </w:r>
          </w:p>
        </w:tc>
      </w:tr>
      <w:tr>
        <w:tc>
          <w:tcPr>
            <w:tcW w:w="4680" w:type="dxa"/>
          </w:tcPr>
          <w:p>
            <w:pPr/>
            <w:r>
              <w:t xml:space="preserve">fuente</w:t>
            </w:r>
          </w:p>
        </w:tc>
        <w:tc>
          <w:tcPr>
            <w:tcW w:w="4680" w:type="dxa"/>
          </w:tcPr>
          <w:p>
            <w:pPr/>
            <w:r>
              <w:t xml:space="preserve">De dónde sale el valor: una norma, o PROVISIONAL si lo definió el equipo</w:t>
            </w:r>
          </w:p>
        </w:tc>
      </w:tr>
    </w:tbl>
    <w:p>
      <w:pPr>
        <w:pStyle w:val="Heading3"/>
      </w:pPr>
      <w:r>
        <w:t xml:space="preserve">3.4 Tabla alertas</w:t>
      </w:r>
    </w:p>
    <w:p>
      <w:pPr/>
      <w:r>
        <w:t xml:space="preserve">Cada alerta queda ligada a la lectura que la provocó mediante lectura_id (llave foránea con ON DELETE CASCADE: si se borra la lectura, se borra su alerta). Guarda la métrica, el nivel, el valor medido, el límite superado, un mensaje, la hora de la alerta y un campo atendida (falso por defecto) que la API puede usar para mostrar solo las alertas activas.</w:t>
      </w:r>
    </w:p>
    <w:p>
      <w:pPr>
        <w:pStyle w:val="Heading2"/>
      </w:pPr>
      <w:r>
        <w:t xml:space="preserve">4. Umbrales y norma oficial</w:t>
      </w:r>
    </w:p>
    <w:p>
      <w:pPr/>
      <w:r>
        <w:t xml:space="preserve">El profesor aprobó que el proyecto se apegue a normas oficiales mexicanas. Se usan tres, y dos de ellas son normas laborales, no de aire ambiente. Esa decisión quedó aceptada por el profesor, con las limitaciones que se explican más abajo.</w:t>
      </w:r>
    </w:p>
    <w:tbl>
      <w:tblPr>
        <w:tblStyle w:val="TableGrid"/>
        <w:tblW w:w="9360" w:type="dxa"/>
        <w:tblLayout w:type="fixed"/>
        <w:tblLook w:val="04A0" w:firstRow="1" w:lastRow="0" w:firstColumn="0" w:lastColumn="0" w:noHBand="0" w:noVBand="1"/>
      </w:tblPr>
      <w:tblGrid>
        <w:gridCol w:w="1500"/>
        <w:gridCol w:w="1400"/>
        <w:gridCol w:w="1450"/>
        <w:gridCol w:w="1350"/>
        <w:gridCol w:w="3660"/>
      </w:tblGrid>
      <w:tr>
        <w:trPr>
          <w:cantSplit/>
          <w:tblHeader/>
        </w:trPr>
        <w:tc>
          <w:tcPr>
            <w:tcW w:w="1500" w:type="dxa"/>
            <w:shd w:val="clear" w:color="auto" w:fill="F2F2F2"/>
          </w:tcPr>
          <w:p>
            <w:pPr/>
            <w:r>
              <w:t xml:space="preserve">Métrica</w:t>
            </w:r>
          </w:p>
        </w:tc>
        <w:tc>
          <w:tcPr>
            <w:tcW w:w="1400" w:type="dxa"/>
            <w:shd w:val="clear" w:color="auto" w:fill="F2F2F2"/>
          </w:tcPr>
          <w:p>
            <w:pPr/>
            <w:r>
              <w:t xml:space="preserve">Nivel</w:t>
            </w:r>
          </w:p>
        </w:tc>
        <w:tc>
          <w:tcPr>
            <w:tcW w:w="1450" w:type="dxa"/>
            <w:shd w:val="clear" w:color="auto" w:fill="F2F2F2"/>
          </w:tcPr>
          <w:p>
            <w:pPr/>
            <w:r>
              <w:t xml:space="preserve">Aplica a</w:t>
            </w:r>
          </w:p>
        </w:tc>
        <w:tc>
          <w:tcPr>
            <w:tcW w:w="1350" w:type="dxa"/>
            <w:shd w:val="clear" w:color="auto" w:fill="F2F2F2"/>
          </w:tcPr>
          <w:p>
            <w:pPr/>
            <w:r>
              <w:t xml:space="preserve">Límite</w:t>
            </w:r>
          </w:p>
        </w:tc>
        <w:tc>
          <w:tcPr>
            <w:tcW w:w="3660" w:type="dxa"/>
            <w:shd w:val="clear" w:color="auto" w:fill="F2F2F2"/>
          </w:tcPr>
          <w:p>
            <w:pPr/>
            <w:r>
              <w:t xml:space="preserve">Fuente</w:t>
            </w:r>
          </w:p>
        </w:tc>
      </w:tr>
      <w:tr>
        <w:trPr>
          <w:cantSplit/>
        </w:trPr>
        <w:tc>
          <w:tcPr>
            <w:tcW w:w="1500" w:type="dxa"/>
          </w:tcPr>
          <w:p>
            <w:pPr/>
            <w:r>
              <w:t xml:space="preserve">PM2.5</w:t>
            </w:r>
          </w:p>
        </w:tc>
        <w:tc>
          <w:tcPr>
            <w:tcW w:w="1400" w:type="dxa"/>
          </w:tcPr>
          <w:p>
            <w:pPr/>
            <w:r>
              <w:t xml:space="preserve">Crítico</w:t>
            </w:r>
          </w:p>
        </w:tc>
        <w:tc>
          <w:tcPr>
            <w:tcW w:w="1450" w:type="dxa"/>
          </w:tcPr>
          <w:p>
            <w:pPr/>
            <w:r>
              <w:t xml:space="preserve">Promedio de 24 h</w:t>
            </w:r>
          </w:p>
        </w:tc>
        <w:tc>
          <w:tcPr>
            <w:tcW w:w="1350" w:type="dxa"/>
          </w:tcPr>
          <w:p>
            <w:r>
              <w:t>25 µg/m³</w:t>
            </w:r>
          </w:p>
        </w:tc>
        <w:tc>
          <w:tcPr>
            <w:tcW w:w="3660" w:type="dxa"/>
          </w:tcPr>
          <w:p>
            <w:r>
              <w:t>NOM-025-SSA1-2021, Tabla 1 (fase Año 5; promedio 24 h)</w:t>
            </w:r>
          </w:p>
        </w:tc>
      </w:tr>
      <w:tr>
        <w:trPr>
          <w:cantSplit/>
        </w:trPr>
        <w:tc>
          <w:tcPr>
            <w:tcW w:w="1500" w:type="dxa"/>
          </w:tcPr>
          <w:p>
            <w:pPr/>
            <w:r>
              <w:t xml:space="preserve">PM2.5</w:t>
            </w:r>
          </w:p>
        </w:tc>
        <w:tc>
          <w:tcPr>
            <w:tcW w:w="1400" w:type="dxa"/>
          </w:tcPr>
          <w:p>
            <w:pPr/>
            <w:r>
              <w:t xml:space="preserve">Advertencia / Crítico</w:t>
            </w:r>
          </w:p>
        </w:tc>
        <w:tc>
          <w:tcPr>
            <w:tcW w:w="1450" w:type="dxa"/>
          </w:tcPr>
          <w:p>
            <w:pPr/>
            <w:r>
              <w:t xml:space="preserve">Lectura</w:t>
            </w:r>
          </w:p>
        </w:tc>
        <w:tc>
          <w:tcPr>
            <w:tcW w:w="1350" w:type="dxa"/>
          </w:tcPr>
          <w:p>
            <w:pPr/>
            <w:r>
              <w:t xml:space="preserve">35 / 75 µg/m³</w:t>
            </w:r>
          </w:p>
        </w:tc>
        <w:tc>
          <w:tcPr>
            <w:tcW w:w="3660" w:type="dxa"/>
          </w:tcPr>
          <w:p>
            <w:pPr/>
            <w:r>
              <w:t xml:space="preserve">Provisional, definido por el equipo</w:t>
            </w:r>
          </w:p>
        </w:tc>
      </w:tr>
      <w:tr>
        <w:trPr>
          <w:cantSplit/>
        </w:trPr>
        <w:tc>
          <w:tcPr>
            <w:tcW w:w="1500" w:type="dxa"/>
          </w:tcPr>
          <w:p>
            <w:pPr/>
            <w:r>
              <w:t xml:space="preserve">CO₂</w:t>
            </w:r>
          </w:p>
        </w:tc>
        <w:tc>
          <w:tcPr>
            <w:tcW w:w="1400" w:type="dxa"/>
          </w:tcPr>
          <w:p>
            <w:pPr/>
            <w:r>
              <w:t xml:space="preserve">Advertencia</w:t>
            </w:r>
          </w:p>
        </w:tc>
        <w:tc>
          <w:tcPr>
            <w:tcW w:w="1450" w:type="dxa"/>
          </w:tcPr>
          <w:p>
            <w:pPr/>
            <w:r>
              <w:t xml:space="preserve">Promedio de 8 h</w:t>
            </w:r>
          </w:p>
        </w:tc>
        <w:tc>
          <w:tcPr>
            <w:tcW w:w="1350" w:type="dxa"/>
          </w:tcPr>
          <w:p>
            <w:pPr/>
            <w:r>
              <w:t xml:space="preserve">2,500 ppm</w:t>
            </w:r>
          </w:p>
        </w:tc>
        <w:tc>
          <w:tcPr>
            <w:tcW w:w="3660" w:type="dxa"/>
          </w:tcPr>
          <w:p>
            <w:pPr/>
            <w:r>
              <w:t xml:space="preserve">NOM-010-STPS-2014, 50 % del VLE-PPT (Tabla 17)</w:t>
            </w:r>
          </w:p>
        </w:tc>
      </w:tr>
      <w:tr>
        <w:trPr>
          <w:cantSplit/>
        </w:trPr>
        <w:tc>
          <w:tcPr>
            <w:tcW w:w="1500" w:type="dxa"/>
          </w:tcPr>
          <w:p>
            <w:pPr/>
            <w:r>
              <w:t xml:space="preserve">CO₂</w:t>
            </w:r>
          </w:p>
        </w:tc>
        <w:tc>
          <w:tcPr>
            <w:tcW w:w="1400" w:type="dxa"/>
          </w:tcPr>
          <w:p>
            <w:pPr/>
            <w:r>
              <w:t xml:space="preserve">Crítico</w:t>
            </w:r>
          </w:p>
        </w:tc>
        <w:tc>
          <w:tcPr>
            <w:tcW w:w="1450" w:type="dxa"/>
          </w:tcPr>
          <w:p>
            <w:pPr/>
            <w:r>
              <w:t xml:space="preserve">Promedio de 8 h</w:t>
            </w:r>
          </w:p>
        </w:tc>
        <w:tc>
          <w:tcPr>
            <w:tcW w:w="1350" w:type="dxa"/>
          </w:tcPr>
          <w:p>
            <w:pPr/>
            <w:r>
              <w:t xml:space="preserve">5,000 ppm</w:t>
            </w:r>
          </w:p>
        </w:tc>
        <w:tc>
          <w:tcPr>
            <w:tcW w:w="3660" w:type="dxa"/>
          </w:tcPr>
          <w:p>
            <w:pPr/>
            <w:r>
              <w:t xml:space="preserve">NOM-010-STPS-2014, VLE-PPT (Apéndice I)</w:t>
            </w:r>
          </w:p>
        </w:tc>
      </w:tr>
      <w:tr>
        <w:trPr>
          <w:cantSplit/>
        </w:trPr>
        <w:tc>
          <w:tcPr>
            <w:tcW w:w="1500" w:type="dxa"/>
          </w:tcPr>
          <w:p>
            <w:pPr/>
            <w:r>
              <w:t xml:space="preserve">CO₂</w:t>
            </w:r>
          </w:p>
        </w:tc>
        <w:tc>
          <w:tcPr>
            <w:tcW w:w="1400" w:type="dxa"/>
          </w:tcPr>
          <w:p>
            <w:pPr/>
            <w:r>
              <w:t xml:space="preserve">Crítico</w:t>
            </w:r>
          </w:p>
        </w:tc>
        <w:tc>
          <w:tcPr>
            <w:tcW w:w="1450" w:type="dxa"/>
          </w:tcPr>
          <w:p>
            <w:pPr/>
            <w:r>
              <w:t xml:space="preserve">Lectura</w:t>
            </w:r>
          </w:p>
        </w:tc>
        <w:tc>
          <w:tcPr>
            <w:tcW w:w="1350" w:type="dxa"/>
          </w:tcPr>
          <w:p>
            <w:pPr/>
            <w:r>
              <w:t xml:space="preserve">30,000 ppm</w:t>
            </w:r>
          </w:p>
        </w:tc>
        <w:tc>
          <w:tcPr>
            <w:tcW w:w="3660" w:type="dxa"/>
          </w:tcPr>
          <w:p>
            <w:pPr/>
            <w:r>
              <w:t xml:space="preserve">NOM-010-STPS-2014, VLE-CT de 15 min (Apéndice I)</w:t>
            </w:r>
          </w:p>
        </w:tc>
      </w:tr>
      <w:tr>
        <w:trPr>
          <w:cantSplit/>
        </w:trPr>
        <w:tc>
          <w:tcPr>
            <w:tcW w:w="1500" w:type="dxa"/>
          </w:tcPr>
          <w:p>
            <w:pPr/>
            <w:r>
              <w:t xml:space="preserve">Temperatura</w:t>
            </w:r>
          </w:p>
        </w:tc>
        <w:tc>
          <w:tcPr>
            <w:tcW w:w="1400" w:type="dxa"/>
          </w:tcPr>
          <w:p>
            <w:pPr/>
            <w:r>
              <w:t xml:space="preserve">Advertencia</w:t>
            </w:r>
          </w:p>
        </w:tc>
        <w:tc>
          <w:tcPr>
            <w:tcW w:w="1450" w:type="dxa"/>
          </w:tcPr>
          <w:p>
            <w:pPr/>
            <w:r>
              <w:t xml:space="preserve">Lectura</w:t>
            </w:r>
          </w:p>
        </w:tc>
        <w:tc>
          <w:tcPr>
            <w:tcW w:w="1350" w:type="dxa"/>
          </w:tcPr>
          <w:p>
            <w:pPr/>
            <w:r>
              <w:t xml:space="preserve">30.0 °C</w:t>
            </w:r>
          </w:p>
        </w:tc>
        <w:tc>
          <w:tcPr>
            <w:tcW w:w="3660" w:type="dxa"/>
          </w:tcPr>
          <w:p>
            <w:pPr/>
            <w:r>
              <w:t xml:space="preserve">NOM-015-STPS-2001, Tabla 1 (régimen ligero, 100 % de exposición)</w:t>
            </w:r>
          </w:p>
        </w:tc>
      </w:tr>
      <w:tr>
        <w:trPr>
          <w:cantSplit/>
        </w:trPr>
        <w:tc>
          <w:tcPr>
            <w:tcW w:w="1500" w:type="dxa"/>
          </w:tcPr>
          <w:p>
            <w:pPr/>
            <w:r>
              <w:t xml:space="preserve">Temperatura</w:t>
            </w:r>
          </w:p>
        </w:tc>
        <w:tc>
          <w:tcPr>
            <w:tcW w:w="1400" w:type="dxa"/>
          </w:tcPr>
          <w:p>
            <w:pPr/>
            <w:r>
              <w:t xml:space="preserve">Crítico</w:t>
            </w:r>
          </w:p>
        </w:tc>
        <w:tc>
          <w:tcPr>
            <w:tcW w:w="1450" w:type="dxa"/>
          </w:tcPr>
          <w:p>
            <w:pPr/>
            <w:r>
              <w:t xml:space="preserve">Lectura</w:t>
            </w:r>
          </w:p>
        </w:tc>
        <w:tc>
          <w:tcPr>
            <w:tcW w:w="1350" w:type="dxa"/>
          </w:tcPr>
          <w:p>
            <w:pPr/>
            <w:r>
              <w:t xml:space="preserve">32.2 °C</w:t>
            </w:r>
          </w:p>
        </w:tc>
        <w:tc>
          <w:tcPr>
            <w:tcW w:w="3660" w:type="dxa"/>
          </w:tcPr>
          <w:p>
            <w:pPr/>
            <w:r>
              <w:t xml:space="preserve">NOM-015-STPS-2001, numeral 7.3.5</w:t>
            </w:r>
          </w:p>
        </w:tc>
      </w:tr>
    </w:tbl>
    <w:p>
      <w:pPr>
        <w:spacing w:before="200"/>
      </w:pPr>
      <w:r>
        <w:t xml:space="preserve">De dónde sale cada valor:</w:t>
      </w:r>
    </w:p>
    <w:p>
      <w:pPr>
        <w:pStyle w:val="ListParagraph"/>
        <w:numPr>
          <w:ilvl w:val="0"/>
          <w:numId w:val="5"/>
        </w:numPr>
      </w:pPr>
      <w:r>
        <w:t>PM2.5 (NOM-025-SSA1-2021, Secretaría de Salud): la Tabla 1 establece valores graduales de 41, 33 y 25 µg/m³ para el promedio de 24 horas (Año 1, Año 3 y Año 5). Para el estado del proyecto al 14/10/2026 se usa la fase Año 5: 25 µg/m³. Los niveles instantáneos 35/75 µg/m³ son criterios provisionales del prototipo, no límites instantáneos definidos por esta NOM. Fuente oficial: DOF, NOM-025-SSA1-2021.</w:t>
      </w:r>
    </w:p>
    <w:p>
      <w:pPr>
        <w:pStyle w:val="ListParagraph"/>
        <w:numPr>
          <w:ilvl w:val="0"/>
          <w:numId w:val="5"/>
        </w:numPr>
      </w:pPr>
      <w:r>
        <w:t xml:space="preserve">CO₂ (NOM-010-STPS-2014, agentes químicos contaminantes del ambiente laboral): se publicó en el DOF el 28/04/2014. El VLE-PPT (promedio ponderado de 8 horas) es de 5,000 ppm y el VLE-CT (corto tiempo, 15 minutos) de 30,000 ppm. Esos valores se tomaron de material de implementación de la norma y coinciden con la referencia internacional ACGIH, pero hay que confirmarlos en la Tabla I.1 del Apéndice I. La Tabla 17 de la norma obliga a adecuar medidas de control cuando el límite superior de confianza llega a la mitad del VLE, y por eso la advertencia se fijó en 2,500 ppm.</w:t>
      </w:r>
    </w:p>
    <w:p>
      <w:pPr>
        <w:pStyle w:val="ListParagraph"/>
        <w:numPr>
          <w:ilvl w:val="0"/>
          <w:numId w:val="5"/>
        </w:numPr>
      </w:pPr>
      <w:r>
        <w:t xml:space="preserve">Temperatura (NOM-015-STPS-2001, condiciones térmicas elevadas o abatidas): evalúa el estrés térmico con el índice de temperatura de globo bulbo húmedo (ITGBH). Su Tabla 1 fija 30.0 °C para trabajo ligero con 100 % de exposición, valor que se usó como advertencia. El numeral 7.3.5 indica que cuando el ITGBH supera 32.2 °C solo se permite una exposición momentánea, valor que se usó como crítico.</w:t>
      </w:r>
    </w:p>
    <w:p>
      <w:pPr/>
      <w:r>
        <w:t xml:space="preserve">Limitaciones que conviene decir en la exposición:</w:t>
      </w:r>
    </w:p>
    <w:p>
      <w:pPr>
        <w:pStyle w:val="ListParagraph"/>
        <w:numPr>
          <w:ilvl w:val="0"/>
          <w:numId w:val="5"/>
        </w:numPr>
      </w:pPr>
      <w:r>
        <w:t xml:space="preserve">Dos de las tres normas son laborales. Se aplican al monitoreo ambiental porque el profesor lo aceptó, pero no fueron escritas para el aire de la ciudad.</w:t>
      </w:r>
    </w:p>
    <w:p>
      <w:pPr>
        <w:pStyle w:val="ListParagraph"/>
        <w:numPr>
          <w:ilvl w:val="0"/>
          <w:numId w:val="5"/>
        </w:numPr>
      </w:pPr>
      <w:r>
        <w:t xml:space="preserve">La NOM-015 usa el ITGBH, que combina temperatura de globo, temperatura de bulbo húmedo y humedad. Los sensores solo miden la temperatura del aire y la humedad se descartó del proyecto, así que se usa la temperatura del aire como aproximación. En aire seco y sin sol directo el índice real es menor que la temperatura del aire, por lo que la aproximación tiende a avisar de más. Con sol directo y mucha humedad podría subestimar el riesgo.</w:t>
      </w:r>
    </w:p>
    <w:p>
      <w:pPr>
        <w:pStyle w:val="ListParagraph"/>
        <w:numPr>
          <w:ilvl w:val="0"/>
          <w:numId w:val="5"/>
        </w:numPr>
      </w:pPr>
      <w:r>
        <w:t xml:space="preserve">Las normas de PM2.5 y CO₂ definen promedios (de 24 y de 8 horas), no lecturas puntuales. Por eso la tabla umbrales distingue entre lectura, promedio_8h y promedio_24h, y se necesitan los promedios móviles que calcula calcularPromediosParalelo del UML. Una sola lectura alta no incumple la norma por sí sola.</w:t>
      </w:r>
    </w:p>
    <w:p>
      <w:pPr>
        <w:pStyle w:val="ListParagraph"/>
        <w:numPr>
          <w:ilvl w:val="0"/>
          <w:numId w:val="5"/>
        </w:numPr>
      </w:pPr>
      <w:r>
        <w:t xml:space="preserve">Los umbrales de PM2.5 por lectura (35 y 75 µg/m³) son un criterio propio del equipo, porque la norma solo fija el promedio de 24 horas.</w:t>
      </w:r>
    </w:p>
    <w:p>
      <w:pPr>
        <w:pStyle w:val="ListParagraph"/>
        <w:numPr>
          <w:ilvl w:val="0"/>
          <w:numId w:val="5"/>
        </w:numPr>
      </w:pPr>
      <w:r>
        <w:t xml:space="preserve">Con valores normales de CO₂ (entre 400 y 800 ppm) no se generan alertas de CO₂, porque están muy por debajo de 2,500 ppm. Para demostrar esa alerta hay que simular una lectura alta.</w:t>
      </w:r>
    </w:p>
    <w:p>
      <w:pPr>
        <w:pStyle w:val="Heading2"/>
      </w:pPr>
      <w:r>
        <w:t xml:space="preserve">5. Transacciones y concurrencia</w:t>
      </w:r>
    </w:p>
    <w:p>
      <w:pPr>
        <w:pStyle w:val="Heading3"/>
      </w:pPr>
      <w:r>
        <w:t xml:space="preserve">5.1 Qué es una transacción y por qué importa</w:t>
      </w:r>
    </w:p>
    <w:p>
      <w:pPr/>
      <w:r>
        <w:t xml:space="preserve">Una transacción agrupa varias operaciones para que ocurran completas o no ocurran (la propiedad de atomicidad de ACID). En este proyecto, guardar una lectura crítica implica dos escrituras: insertar la lectura y insertar su alerta. Si algo falla entre las dos, no debe quedar una alerta sin lectura ni una lectura crítica sin alerta.</w:t>
      </w:r>
    </w:p>
    <w:p>
      <w:pPr/>
      <w:r>
        <w:t xml:space="preserve">El patrón es:</w:t>
      </w:r>
    </w:p>
    <w:p>
      <w:pPr>
        <w:pStyle w:val="ListParagraph"/>
        <w:numPr>
          <w:ilvl w:val="0"/>
          <w:numId w:val="6"/>
        </w:numPr>
      </w:pPr>
      <w:r>
        <w:t xml:space="preserve">START TRANSACTION</w:t>
      </w:r>
    </w:p>
    <w:p>
      <w:pPr>
        <w:pStyle w:val="ListParagraph"/>
        <w:numPr>
          <w:ilvl w:val="0"/>
          <w:numId w:val="6"/>
        </w:numPr>
      </w:pPr>
      <w:r>
        <w:t xml:space="preserve">INSERT en lecturas</w:t>
      </w:r>
    </w:p>
    <w:p>
      <w:pPr>
        <w:pStyle w:val="ListParagraph"/>
        <w:numPr>
          <w:ilvl w:val="0"/>
          <w:numId w:val="6"/>
        </w:numPr>
      </w:pPr>
      <w:r>
        <w:t xml:space="preserve">INSERT en alertas, usando LAST_INSERT_ID() para apuntar a la lectura recién creada (solo si el valor supera el umbral)</w:t>
      </w:r>
    </w:p>
    <w:p>
      <w:pPr>
        <w:pStyle w:val="ListParagraph"/>
        <w:numPr>
          <w:ilvl w:val="0"/>
          <w:numId w:val="6"/>
        </w:numPr>
      </w:pPr>
      <w:r>
        <w:t xml:space="preserve">COMMIT (o ROLLBACK si hubo un error)</w:t>
      </w:r>
    </w:p>
    <w:p>
      <w:pPr/>
      <w:r>
        <w:t xml:space="preserve">Este mismo patrón es el que debe seguir el DatabaseManager en C++.</w:t>
      </w:r>
    </w:p>
    <w:p>
      <w:pPr>
        <w:pStyle w:val="Heading3"/>
      </w:pPr>
      <w:r>
        <w:t xml:space="preserve">5.2 Escrituras simultáneas</w:t>
      </w:r>
    </w:p>
    <w:p>
      <w:pPr/>
      <w:r>
        <w:t xml:space="preserve">Cada hilo debe usar su propia conexión a MySQL. Una conexión no se comparte entre hilos, porque dos hilos usándola a la vez mezclarían sus transacciones. InnoDB se encarga de coordinar los bloqueos entre conexiones distintas.</w:t>
      </w:r>
    </w:p>
    <w:p>
      <w:pPr>
        <w:pStyle w:val="Heading3"/>
      </w:pPr>
      <w:r>
        <w:t xml:space="preserve">5.3 Lecturas duplicadas (error 1062)</w:t>
      </w:r>
    </w:p>
    <w:p>
      <w:pPr/>
      <w:r>
        <w:t xml:space="preserve">Si un hilo reintenta guardar una lectura que ya existe, MySQL responde con el error 1062 (Duplicate entry). Eso no es una falla del sistema, es la restricción única haciendo su trabajo. En la prueba de carga se cuenta como "duplicado rechazado" y se descarta.</w:t>
      </w:r>
    </w:p>
    <w:p>
      <w:pPr/>
      <w:r>
        <w:t>Política implementada: se rechaza el duplicado con el error MySQL 1062 por la restricción UNIQUE sensor/timestamp. El núcleo C++ y la prueba de carga tratan ese resultado como duplicado esperado; no se usa INSERT IGNORE ni se actualiza la lectura existente.</w:t>
      </w:r>
    </w:p>
    <w:p>
      <w:pPr>
        <w:pStyle w:val="Heading3"/>
      </w:pPr>
      <w:r>
        <w:t xml:space="preserve">5.4 Deadlocks (error 1213)</w:t>
      </w:r>
    </w:p>
    <w:p>
      <w:pPr/>
      <w:r>
        <w:t xml:space="preserve">Un deadlock ocurre cuando dos transacciones se esperan mutuamente. MySQL resuelve el problema cancelando una de ellas. El código debe reintentar esa transacción. El script de pruebas lo hace hasta 3 veces, esperando un poco más en cada intento. En las pruebas realizadas no ocurrió ningún deadlock.</w:t>
      </w:r>
    </w:p>
    <w:p>
      <w:pPr>
        <w:pStyle w:val="Heading2"/>
      </w:pPr>
      <w:r>
        <w:t xml:space="preserve">6. Datos de prueba masivos</w:t>
      </w:r>
    </w:p>
    <w:p>
      <w:pPr/>
      <w:r>
        <w:t xml:space="preserve">El archivo datos_prueba.sql crea dos procedimientos almacenados:</w:t>
      </w:r>
    </w:p>
    <w:p>
      <w:pPr>
        <w:pStyle w:val="ListParagraph"/>
        <w:numPr>
          <w:ilvl w:val="0"/>
          <w:numId w:val="7"/>
        </w:numPr>
      </w:pPr>
      <w:r>
        <w:t xml:space="preserve">generar_datos_prueba(sensores, lecturas): crea N sensores y M lecturas por sensor con valores aleatorios (PM2.5 de 10 a 100, CO2 de 400 a 1100, temperatura de 18 a 35), una lectura cada 5 segundos hacia el pasado, y genera las alertas de las lecturas que superan el umbral crítico por lectura. Ejemplo: CALL generar_datos_prueba(50, 2000); produce 100,000 lecturas en unos 6 segundos.</w:t>
      </w:r>
    </w:p>
    <w:p>
      <w:pPr>
        <w:pStyle w:val="ListParagraph"/>
        <w:numPr>
          <w:ilvl w:val="0"/>
          <w:numId w:val="7"/>
        </w:numPr>
      </w:pPr>
      <w:r>
        <w:t xml:space="preserve">limpiar_datos_prueba(): borra todas las lecturas, alertas y los sensores de prueba, y deja solo sensor_01, sensor_02 y sensor_03.</w:t>
      </w:r>
    </w:p>
    <w:p>
      <w:pPr/>
      <w:r>
        <w:t xml:space="preserve">Al final del archivo hay consultas comentadas para revisar rendimiento: promedio móvil de 24 horas por sensor, alertas activas más recientes y un EXPLAIN para confirmar que las consultas usan los índices.</w:t>
      </w:r>
    </w:p>
    <w:p>
      <w:pPr/>
      <w:r>
        <w:t xml:space="preserve">Un detalle de MySQL Workbench: trae activado el modo seguro (Safe Updates), que bloquea los DELETE sin una condición sobre una llave (error 1175). Por eso limpiar_datos_prueba filtra con condiciones sobre las llaves primarias.</w:t>
      </w:r>
    </w:p>
    <w:p>
      <w:pPr/>
      <w:r>
        <w:t xml:space="preserve">Advertencia: limpiar_datos_prueba borra todo lo que haya en lecturas y alertas. Úsalo solo en una base de pruebas.</w:t>
      </w:r>
    </w:p>
    <w:p>
      <w:pPr>
        <w:pStyle w:val="Heading2"/>
      </w:pPr>
      <w:r>
        <w:t xml:space="preserve">7. Prueba de carga concurrente</w:t>
      </w:r>
    </w:p>
    <w:p>
      <w:pPr/>
      <w:r>
        <w:t xml:space="preserve">El script carga_concurrente.py (Python) simula N sensores como N hilos. Cada hilo abre su propia conexión y, para cada lectura, hace una transacción (lectura más alerta si corresponde). De forma deliberada reenvía algunas lecturas duplicadas para comprobar que la base las rechaza. Al terminar, verifica la integridad de los datos.</w:t>
      </w:r>
    </w:p>
    <w:p>
      <w:pPr/>
      <w:r>
        <w:t xml:space="preserve">Las funciones principales son:</w:t>
      </w:r>
    </w:p>
    <w:p>
      <w:pPr>
        <w:pStyle w:val="ListParagraph"/>
        <w:numPr>
          <w:ilvl w:val="0"/>
          <w:numId w:val="8"/>
        </w:numPr>
      </w:pPr>
      <w:r>
        <w:t xml:space="preserve">leer_umbral_critico: toma el límite desde la tabla umbrales, no desde el código.</w:t>
      </w:r>
    </w:p>
    <w:p>
      <w:pPr>
        <w:pStyle w:val="ListParagraph"/>
        <w:numPr>
          <w:ilvl w:val="0"/>
          <w:numId w:val="8"/>
        </w:numPr>
      </w:pPr>
      <w:r>
        <w:t xml:space="preserve">guardar_lectura: ejecuta la transacción de lectura más alerta.</w:t>
      </w:r>
    </w:p>
    <w:p>
      <w:pPr>
        <w:pStyle w:val="ListParagraph"/>
        <w:numPr>
          <w:ilvl w:val="0"/>
          <w:numId w:val="8"/>
        </w:numPr>
      </w:pPr>
      <w:r>
        <w:t xml:space="preserve">hilo_sensor: el ciclo de cada hilo, con manejo de duplicados (1062) y reintento de deadlocks (1213 y 1205).</w:t>
      </w:r>
    </w:p>
    <w:p>
      <w:pPr>
        <w:pStyle w:val="ListParagraph"/>
        <w:numPr>
          <w:ilvl w:val="0"/>
          <w:numId w:val="8"/>
        </w:numPr>
      </w:pPr>
      <w:r>
        <w:t xml:space="preserve">verificar: cuenta lecturas y alertas, y busca alertas huérfanas (alertas sin su lectura).</w:t>
      </w:r>
    </w:p>
    <w:p>
      <w:pPr>
        <w:pStyle w:val="Heading3"/>
      </w:pPr>
      <w:r>
        <w:t xml:space="preserve">7.1 Resultados en la máquina del autor</w:t>
      </w:r>
    </w:p>
    <w:p>
      <w:pPr/>
      <w:r>
        <w:t xml:space="preserve">Comando: python carga_concurrente.py --sensores 20 --lecturas 300 --duplicados 0.1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Concepto</w:t>
            </w:r>
          </w:p>
        </w:tc>
        <w:tc>
          <w:tcPr>
            <w:tcW w:w="4680" w:type="dxa"/>
            <w:shd w:val="clear" w:color="auto" w:fill="F2F2F2"/>
          </w:tcPr>
          <w:p>
            <w:pPr/>
            <w:r>
              <w:t xml:space="preserve">Resultado</w:t>
            </w:r>
          </w:p>
        </w:tc>
      </w:tr>
      <w:tr>
        <w:tc>
          <w:tcPr>
            <w:tcW w:w="4680" w:type="dxa"/>
          </w:tcPr>
          <w:p>
            <w:r>
              <w:t>Intentos totales (20 × 500)</w:t>
            </w:r>
          </w:p>
        </w:tc>
        <w:tc>
          <w:tcPr>
            <w:tcW w:w="4680" w:type="dxa"/>
          </w:tcPr>
          <w:p>
            <w:r>
              <w:t>10 000</w:t>
            </w:r>
          </w:p>
        </w:tc>
      </w:tr>
      <w:tr>
        <w:tc>
          <w:tcPr>
            <w:tcW w:w="4680" w:type="dxa"/>
          </w:tcPr>
          <w:p>
            <w:r>
              <w:t>Lecturas guardadas</w:t>
            </w:r>
          </w:p>
        </w:tc>
        <w:tc>
          <w:tcPr>
            <w:tcW w:w="4680" w:type="dxa"/>
          </w:tcPr>
          <w:p>
            <w:r>
              <w:t>9 500</w:t>
            </w:r>
          </w:p>
        </w:tc>
      </w:tr>
      <w:tr>
        <w:tc>
          <w:tcPr>
            <w:tcW w:w="4680" w:type="dxa"/>
          </w:tcPr>
          <w:p>
            <w:r>
              <w:t>Duplicados rechazados (error 1062)</w:t>
            </w:r>
          </w:p>
        </w:tc>
        <w:tc>
          <w:tcPr>
            <w:tcW w:w="4680" w:type="dxa"/>
          </w:tcPr>
          <w:p>
            <w:r>
              <w:t>500</w:t>
            </w:r>
          </w:p>
        </w:tc>
      </w:tr>
      <w:tr>
        <w:tc>
          <w:tcPr>
            <w:tcW w:w="4680" w:type="dxa"/>
          </w:tcPr>
          <w:p>
            <w:r>
              <w:t>Alertas generadas</w:t>
            </w:r>
          </w:p>
        </w:tc>
        <w:tc>
          <w:tcPr>
            <w:tcW w:w="4680" w:type="dxa"/>
          </w:tcPr>
          <w:p>
            <w:r>
              <w:t>2 627</w:t>
            </w:r>
          </w:p>
        </w:tc>
      </w:tr>
      <w:tr>
        <w:tc>
          <w:tcPr>
            <w:tcW w:w="4680" w:type="dxa"/>
          </w:tcPr>
          <w:p>
            <w:r>
              <w:t>Reintentos por deadlock</w:t>
            </w:r>
          </w:p>
        </w:tc>
        <w:tc>
          <w:tcPr>
            <w:tcW w:w="4680" w:type="dxa"/>
          </w:tcPr>
          <w:p>
            <w:r>
              <w:t>0</w:t>
            </w:r>
          </w:p>
        </w:tc>
      </w:tr>
      <w:tr>
        <w:tc>
          <w:tcPr>
            <w:tcW w:w="4680" w:type="dxa"/>
          </w:tcPr>
          <w:p>
            <w:r>
              <w:t>Errores inesperados</w:t>
            </w:r>
          </w:p>
        </w:tc>
        <w:tc>
          <w:tcPr>
            <w:tcW w:w="4680" w:type="dxa"/>
          </w:tcPr>
          <w:p>
            <w:r>
              <w:t>0</w:t>
            </w:r>
          </w:p>
        </w:tc>
      </w:tr>
      <w:tr>
        <w:tc>
          <w:tcPr>
            <w:tcW w:w="4680" w:type="dxa"/>
          </w:tcPr>
          <w:p>
            <w:r>
              <w:t>Tiempo total</w:t>
            </w:r>
          </w:p>
        </w:tc>
        <w:tc>
          <w:tcPr>
            <w:tcW w:w="4680" w:type="dxa"/>
          </w:tcPr>
          <w:p>
            <w:r>
              <w:t>7.09 s</w:t>
            </w:r>
          </w:p>
        </w:tc>
      </w:tr>
      <w:tr>
        <w:tc>
          <w:tcPr>
            <w:tcW w:w="4680" w:type="dxa"/>
          </w:tcPr>
          <w:p>
            <w:r>
              <w:t>Rendimiento</w:t>
            </w:r>
          </w:p>
        </w:tc>
        <w:tc>
          <w:tcPr>
            <w:tcW w:w="4680" w:type="dxa"/>
          </w:tcPr>
          <w:p>
            <w:r>
              <w:t>1 340 lecturas/s</w:t>
            </w:r>
          </w:p>
        </w:tc>
      </w:tr>
      <w:tr>
        <w:tc>
          <w:tcPr>
            <w:tcW w:w="4680" w:type="dxa"/>
          </w:tcPr>
          <w:p>
            <w:r>
              <w:t>Alertas sin lectura (huérfanas)</w:t>
            </w:r>
          </w:p>
        </w:tc>
        <w:tc>
          <w:tcPr>
            <w:tcW w:w="4680" w:type="dxa"/>
          </w:tcPr>
          <w:p>
            <w:r>
              <w:t>0</w:t>
            </w:r>
          </w:p>
        </w:tc>
      </w:tr>
    </w:tbl>
    <w:p>
      <w:pPr/>
      <w:r>
        <w:t>Cómo interpretar la ejecución más reciente: 9 500 lecturas guardadas más 500 duplicados rechazados suman los 10 000 intentos. Las 2 627 alertas coinciden con la prueba y no hay alertas huérfanas. El rendimiento depende de la computadora y no es comparable entre equipos.</w:t>
      </w:r>
    </w:p>
    <w:p>
      <w:pPr>
        <w:pStyle w:val="Heading3"/>
      </w:pPr>
      <w:r>
        <w:t xml:space="preserve">7.2 Relación con la Definición de Terminado</w:t>
      </w:r>
    </w:p>
    <w:p>
      <w:pPr/>
      <w:r>
        <w:t xml:space="preserve">Esta prueba aporta evidencia para dos criterios del documento de justificación: la operación sobre la base de datos es transaccional e íntegra, y la funcionalidad pasa pruebas de concurrencia sin condiciones de carrera observables. También sirve como línea base para comparar con el programa en C++ cuando esté listo.</w:t>
      </w:r>
    </w:p>
    <w:p>
      <w:pPr>
        <w:pStyle w:val="Heading2"/>
      </w:pPr>
      <w:r>
        <w:t xml:space="preserve">8. Cómo reproducirlo</w:t>
      </w:r>
    </w:p>
    <w:p>
      <w:pPr/>
      <w:r>
        <w:t xml:space="preserve">Los tres archivos se usan en este orden: primero </w:t>
      </w:r>
      <w:r>
        <w:rPr>
          <w:rStyle w:val="CodeChar"/>
        </w:rPr>
        <w:t xml:space="preserve">schema.sql</w:t>
      </w:r>
      <w:r>
        <w:t xml:space="preserve">, que crea la base; luego </w:t>
      </w:r>
      <w:r>
        <w:rPr>
          <w:rStyle w:val="CodeChar"/>
        </w:rPr>
        <w:t xml:space="preserve">datos_prueba.sql</w:t>
      </w:r>
      <w:r>
        <w:t xml:space="preserve">, que crea los procedimientos para generar datos de prueba; y por último </w:t>
      </w:r>
      <w:r>
        <w:rPr>
          <w:rStyle w:val="CodeChar"/>
        </w:rPr>
        <w:t xml:space="preserve">carga_concurrente.py</w:t>
      </w:r>
      <w:r>
        <w:t xml:space="preserve">, la prueba de carga. Al terminar se limpia con </w:t>
      </w:r>
      <w:r>
        <w:rPr>
          <w:rStyle w:val="CodeChar"/>
        </w:rPr>
        <w:t xml:space="preserve">CALL limpiar_datos_prueba();</w:t>
      </w:r>
      <w:r>
        <w:t xml:space="preserve">.</w:t>
      </w:r>
    </w:p>
    <w:p>
      <w:pPr>
        <w:pStyle w:val="Heading3"/>
      </w:pPr>
      <w:r>
        <w:t xml:space="preserve">8.1 Crear la base</w:t>
      </w:r>
    </w:p>
    <w:p>
      <w:pPr>
        <w:pStyle w:val="ListParagraph"/>
        <w:numPr>
          <w:ilvl w:val="0"/>
          <w:numId w:val="9"/>
        </w:numPr>
      </w:pPr>
      <w:r>
        <w:t>Instala MySQL Server 8; MySQL Workbench es opcional. Para instalar y preparar la base sin Workbench, sigue docs/manual_usuario.md.</w:t>
      </w:r>
    </w:p>
    <w:p>
      <w:pPr>
        <w:pStyle w:val="ListParagraph"/>
        <w:numPr>
          <w:ilvl w:val="0"/>
          <w:numId w:val="9"/>
        </w:numPr>
      </w:pPr>
      <w:r>
        <w:t>Ejecuta schema.sql desde MySQL Workbench o con el cliente mysql. Los pasos para ambas alternativas están en docs/manual_usuario.md.</w:t>
      </w:r>
    </w:p>
    <w:p>
      <w:pPr>
        <w:pStyle w:val="ListParagraph"/>
        <w:numPr>
          <w:ilvl w:val="0"/>
          <w:numId w:val="9"/>
        </w:numPr>
      </w:pPr>
      <w:r>
        <w:t xml:space="preserve">Comprobar con: USE monitoreo_ambiental; SHOW TABLES; Deben aparecer 4 tablas, 3 sensores y 8 umbrales.</w:t>
      </w:r>
    </w:p>
    <w:p>
      <w:pPr>
        <w:pStyle w:val="ListParagraph"/>
        <w:numPr>
          <w:ilvl w:val="0"/>
          <w:numId w:val="9"/>
        </w:numPr>
      </w:pPr>
      <w:r>
        <w:t>Si la base ya existe, revisa actualizar_umbrales_verificados.sql y ejecútalo solo si quieres aplicar explícitamente los valores verificados. No elimina lecturas ni alertas.</w:t>
      </w:r>
    </w:p>
    <w:p>
      <w:pPr>
        <w:pStyle w:val="Heading3"/>
      </w:pPr>
      <w:r>
        <w:t xml:space="preserve">8.2 Probar la transacción a mano</w:t>
      </w:r>
    </w:p>
    <w:p>
      <w:pPr/>
      <w:r>
        <w:t xml:space="preserve">Al final de schema.sql hay un ejemplo comentado de transacción. Al descomentarlo y ejecutarlo debe aparecer una fila en lecturas y otra en alertas. Si se ejecuta de nuevo el INSERT de la lectura, debe salir el error 1062.</w:t>
      </w:r>
    </w:p>
    <w:p>
      <w:pPr>
        <w:pStyle w:val="Heading3"/>
      </w:pPr>
      <w:r>
        <w:t xml:space="preserve">8.3 Generar datos y limpiar</w:t>
      </w:r>
    </w:p>
    <w:p>
      <w:pPr>
        <w:pStyle w:val="ListParagraph"/>
        <w:numPr>
          <w:ilvl w:val="0"/>
          <w:numId w:val="10"/>
        </w:numPr>
      </w:pPr>
      <w:r>
        <w:t xml:space="preserve">Ejecutar datos_prueba.sql para crear los procedimientos.</w:t>
      </w:r>
    </w:p>
    <w:p>
      <w:pPr>
        <w:pStyle w:val="ListParagraph"/>
        <w:numPr>
          <w:ilvl w:val="0"/>
          <w:numId w:val="10"/>
        </w:numPr>
      </w:pPr>
      <w:r>
        <w:t xml:space="preserve">En otra pestaña, ejecutar CALL generar_datos_prueba(50, 2000); y después, cuando se termine de probar, CALL limpiar_datos_prueba();</w:t>
      </w:r>
    </w:p>
    <w:p>
      <w:pPr>
        <w:pStyle w:val="Heading3"/>
      </w:pPr>
      <w:r>
        <w:t xml:space="preserve">8.4 Correr la prueba de carga</w:t>
      </w:r>
    </w:p>
    <w:p>
      <w:pPr>
        <w:pStyle w:val="ListParagraph"/>
        <w:numPr>
          <w:ilvl w:val="0"/>
          <w:numId w:val="11"/>
        </w:numPr>
      </w:pPr>
      <w:r>
        <w:t xml:space="preserve">Tener Python instalado y ejecutar: pip install mysql-connector-python</w:t>
      </w:r>
    </w:p>
    <w:p>
      <w:pPr>
        <w:pStyle w:val="ListParagraph"/>
        <w:numPr>
          <w:ilvl w:val="0"/>
          <w:numId w:val="11"/>
        </w:numPr>
      </w:pPr>
      <w:r>
        <w:t xml:space="preserve">En PowerShell, definir la contraseña de MySQL en una variable de entorno: $env:MYSQL_PASSWORD = 'tu_clave'</w:t>
      </w:r>
    </w:p>
    <w:p>
      <w:pPr>
        <w:pStyle w:val="ListParagraph"/>
        <w:numPr>
          <w:ilvl w:val="0"/>
          <w:numId w:val="11"/>
        </w:numPr>
      </w:pPr>
      <w:r>
        <w:t xml:space="preserve">Ejecutar: python carga_concurrente.py --sensores 20 --lecturas 300 --duplicados 0.1 (si el usuario no es root, agregar --usuario tu_usuario).</w:t>
      </w:r>
    </w:p>
    <w:p>
      <w:pPr>
        <w:pStyle w:val="ListParagraph"/>
        <w:numPr>
          <w:ilvl w:val="0"/>
          <w:numId w:val="11"/>
        </w:numPr>
      </w:pPr>
      <w:r>
        <w:t xml:space="preserve">Al final debe decir RESULTADO: OK, sin corrupcion.</w:t>
      </w:r>
    </w:p>
    <w:p>
      <w:pPr/>
      <w:r>
        <w:t xml:space="preserve">Seguridad: la contraseña nunca debe escribirse en el código ni subirse a GitHub, y tampoco debe aparecer en capturas de pantalla. Por eso se lee de una variable de entorno.</w:t>
      </w:r>
    </w:p>
    <w:p>
      <w:pPr>
        <w:pStyle w:val="Heading2"/>
      </w:pPr>
      <w:r>
        <w:t xml:space="preserve">9. Qué necesita cada equipo de la base</w:t>
      </w:r>
    </w:p>
    <w:p>
      <w:pPr>
        <w:pStyle w:val="ListParagraph"/>
        <w:numPr>
          <w:ilvl w:val="0"/>
          <w:numId w:val="12"/>
        </w:numPr>
      </w:pPr>
      <w:r>
        <w:t xml:space="preserve">Núcleo concurrente: usar una conexión por hilo, envolver cada guardado en una transacción (lectura más alerta), manejar el error 1062 y reintentar ante deadlocks. El script de Python es una referencia de esa lógica. Cuando su programa en C++ esté listo, pueden compararlo con los resultados de la sección 7.</w:t>
      </w:r>
    </w:p>
    <w:p>
      <w:pPr>
        <w:pStyle w:val="ListParagraph"/>
        <w:numPr>
          <w:ilvl w:val="0"/>
          <w:numId w:val="12"/>
        </w:numPr>
      </w:pPr>
      <w:r>
        <w:t xml:space="preserve">Servicio y red (FastAPI): consultar lecturas y alertas. Consultas típicas: alertas con atendida = FALSE ordenadas por timestamp_alerta, y el promedio de las últimas 24 horas por sensor. Los ejemplos están al final de datos_prueba.sql.</w:t>
      </w:r>
    </w:p>
    <w:p>
      <w:pPr>
        <w:pStyle w:val="ListParagraph"/>
        <w:numPr>
          <w:ilvl w:val="0"/>
          <w:numId w:val="12"/>
        </w:numPr>
      </w:pPr>
      <w:r>
        <w:t xml:space="preserve">Todos: los datos de conexión (host, puerto, base, usuario y contraseña) se pasan por configuración o variables de entorno, nunca escritos en el código.</w:t>
      </w:r>
    </w:p>
    <w:p>
      <w:pPr>
        <w:pStyle w:val="Heading2"/>
      </w:pPr>
      <w:r>
        <w:t>10. Estado y decisiones vigentes al 15/10/2026</w:t>
      </w:r>
    </w:p>
    <w:p>
      <w:pPr>
        <w:pStyle w:val="ListParagraph"/>
        <w:numPr>
          <w:ilvl w:val="0"/>
          <w:numId w:val="13"/>
        </w:numPr>
      </w:pPr>
      <w:r>
        <w:t>El esquema y su integridad se revisaron con las pruebas de carga; no se reportaron alertas huérfanas ni errores inesperados.</w:t>
      </w:r>
    </w:p>
    <w:p>
      <w:pPr>
        <w:pStyle w:val="ListParagraph"/>
        <w:numPr>
          <w:ilvl w:val="0"/>
          <w:numId w:val="13"/>
        </w:numPr>
      </w:pPr>
      <w:r>
        <w:t>Las referencias normativas de PM2.5, CO₂ y temperatura se documentan con sus alcances y limitaciones en docs/informe_pruebas.md y src/database/README.md.</w:t>
      </w:r>
    </w:p>
    <w:p>
      <w:pPr>
        <w:pStyle w:val="ListParagraph"/>
        <w:numPr>
          <w:ilvl w:val="0"/>
          <w:numId w:val="13"/>
        </w:numPr>
      </w:pPr>
      <w:r>
        <w:t>La API calcula los promedios móviles de PM2.5 (24 h) y CO₂ (8 h); el esquema de alertas actual registra superaciones puntuales, no alertas por esos promedios.</w:t>
      </w:r>
    </w:p>
    <w:p>
      <w:pPr>
        <w:pStyle w:val="ListParagraph"/>
        <w:numPr>
          <w:ilvl w:val="0"/>
          <w:numId w:val="13"/>
        </w:numPr>
      </w:pPr>
      <w:r>
        <w:t>La política para duplicados está definida e implementada: rechazar con MySQL 1062, sin insertar ni actualizar una fila existente.</w:t>
      </w:r>
    </w:p>
    <w:p>
      <w:pPr>
        <w:pStyle w:val="ListParagraph"/>
        <w:numPr>
          <w:ilvl w:val="0"/>
          <w:numId w:val="13"/>
        </w:numPr>
      </w:pPr>
      <w:r>
        <w:t>La ejecución y los conteos descritos en este documento corresponden a la instancia local de demostración; cada instalación del equipo conserva su propia base e historial.</w:t>
      </w:r>
    </w:p>
    <w:p>
      <w:pPr>
        <w:pStyle w:val="ListParagraph"/>
        <w:numPr>
          <w:ilvl w:val="0"/>
          <w:numId w:val="13"/>
        </w:numPr>
      </w:pPr>
      <w:r>
        <w:t>El prototipo documenta y valida MySQL local; no configura una base compartida en nube ni un servicio de producción.</w:t>
      </w:r>
    </w:p>
    <w:p>
      <w:pPr>
        <w:pStyle w:val="Heading2"/>
      </w:pPr>
      <w:r>
        <w:t xml:space="preserve">11. Glosario</w:t>
      </w:r>
    </w:p>
    <w:p>
      <w:pPr>
        <w:pStyle w:val="ListParagraph"/>
        <w:numPr>
          <w:ilvl w:val="0"/>
          <w:numId w:val="14"/>
        </w:numPr>
      </w:pPr>
      <w:r>
        <w:t xml:space="preserve">ACID: propiedades de una transacción (atomicidad, consistencia, aislamiento y durabilidad).</w:t>
      </w:r>
    </w:p>
    <w:p>
      <w:pPr>
        <w:pStyle w:val="ListParagraph"/>
        <w:numPr>
          <w:ilvl w:val="0"/>
          <w:numId w:val="14"/>
        </w:numPr>
      </w:pPr>
      <w:r>
        <w:t xml:space="preserve">Atomicidad: o se guardan todas las operaciones de la transacción, o ninguna.</w:t>
      </w:r>
    </w:p>
    <w:p>
      <w:pPr>
        <w:pStyle w:val="ListParagraph"/>
        <w:numPr>
          <w:ilvl w:val="0"/>
          <w:numId w:val="14"/>
        </w:numPr>
      </w:pPr>
      <w:r>
        <w:t xml:space="preserve">Condición de carrera: error que ocurre cuando dos hilos modifican un mismo dato al mismo tiempo sin control y el resultado depende del orden.</w:t>
      </w:r>
    </w:p>
    <w:p>
      <w:pPr>
        <w:pStyle w:val="ListParagraph"/>
        <w:numPr>
          <w:ilvl w:val="0"/>
          <w:numId w:val="14"/>
        </w:numPr>
      </w:pPr>
      <w:r>
        <w:t xml:space="preserve">Deadlock: dos transacciones se bloquean esperando recursos que la otra tiene. MySQL cancela una y hay que reintentarla.</w:t>
      </w:r>
    </w:p>
    <w:p>
      <w:pPr>
        <w:pStyle w:val="ListParagraph"/>
        <w:numPr>
          <w:ilvl w:val="0"/>
          <w:numId w:val="14"/>
        </w:numPr>
      </w:pPr>
      <w:r>
        <w:t xml:space="preserve">Índice: estructura que acelera las búsquedas en una tabla.</w:t>
      </w:r>
    </w:p>
    <w:p>
      <w:pPr>
        <w:pStyle w:val="ListParagraph"/>
        <w:numPr>
          <w:ilvl w:val="0"/>
          <w:numId w:val="14"/>
        </w:numPr>
      </w:pPr>
      <w:r>
        <w:t xml:space="preserve">Llave foránea: columna que apunta a la llave primaria de otra tabla y garantiza que la relación sea válida.</w:t>
      </w:r>
    </w:p>
    <w:p>
      <w:pPr>
        <w:pStyle w:val="ListParagraph"/>
        <w:numPr>
          <w:ilvl w:val="0"/>
          <w:numId w:val="14"/>
        </w:numPr>
      </w:pPr>
      <w:r>
        <w:t xml:space="preserve">Transacción: grupo de operaciones que se ejecutan como una unidad.</w:t>
      </w:r>
    </w:p>
    <w:p>
      <w:pPr>
        <w:pStyle w:val="ListParagraph"/>
        <w:numPr>
          <w:ilvl w:val="0"/>
          <w:numId w:val="14"/>
        </w:numPr>
      </w:pPr>
      <w:r>
        <w:t xml:space="preserve">Umbral: límite a partir del cual una medición se considera peligrosa y genera una alerta.</w:t>
      </w:r>
    </w:p>
    <w:p>
      <w:pPr>
        <w:pStyle w:val="ListParagraph"/>
        <w:numPr>
          <w:ilvl w:val="0"/>
          <w:numId w:val="14"/>
        </w:numPr>
      </w:pPr>
      <w:r>
        <w:t xml:space="preserve">UTC: hora universal, sin zona horaria, usada para guardar todos los timestamps.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Base de datos y pruebas de carga – Monitoreo ambiental en tiempo real</dc:title>
  <dc:description>Claude Docs node/8158f614-a106@3 docx-w6</dc:description>
  <cp:revision>3</cp:revision>
</cp:coreProperties>
</file>