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C628AD" w14:textId="0A8D02C9" w:rsidR="009E42D0" w:rsidRPr="009E42D0" w:rsidRDefault="009E42D0" w:rsidP="009E42D0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Environmental Risk Assessment (ERA) framework</w:t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for pharmaceuticals is a stepwise, tiered procedure — codified in the EU by the European Medicines Agency (EMA) guideline and mandatory for marketing-authorization applications since 2006 — that estimates whether the amount of a drug entering the aquatic environment is high enough to harm aquatic organisms. It works by comparing an exposure estimate against an effect threshold: the </w:t>
      </w:r>
      <w:r w:rsidRPr="009E4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Predicted Environmental Concentration (PEC)</w:t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versus the </w:t>
      </w:r>
      <w:r w:rsidRPr="009E4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Predicted No-Effect Concentration (PNEC)</w:t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t>, expressed as the risk quotient \(RQ = PEC/PNEC\). An \(RQ \</w:t>
      </w:r>
      <w:proofErr w:type="spellStart"/>
      <w:r w:rsidRPr="009E42D0">
        <w:rPr>
          <w:rFonts w:ascii="Times New Roman" w:eastAsia="Times New Roman" w:hAnsi="Times New Roman" w:cs="Times New Roman"/>
          <w:kern w:val="0"/>
          <w14:ligatures w14:val="none"/>
        </w:rPr>
        <w:t>geq</w:t>
      </w:r>
      <w:proofErr w:type="spellEnd"/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1\) (equivalently PEC ≥ PNEC) signals potential risk and triggers further assessment.</w:t>
      </w:r>
      <w:hyperlink r:id="rId5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[1]</w:t>
        </w:r>
      </w:hyperlink>
      <w:hyperlink r:id="rId6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[2]</w:t>
        </w:r>
      </w:hyperlink>
      <w:hyperlink r:id="rId7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[3]</w:t>
        </w:r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4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tiered ERA structure (EMA/EMEA):</w:t>
      </w:r>
      <w:hyperlink r:id="rId8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[2]</w:t>
        </w:r>
      </w:hyperlink>
      <w:hyperlink r:id="rId9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[4]</w:t>
        </w:r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- </w:t>
      </w:r>
      <w:r w:rsidRPr="009E4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Tier/Phase I — exposure screening.</w:t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A crude PEC in surface water is derived from predicted consumption, an excretion/removal estimate, and dilution. If the PEC is </w:t>
      </w:r>
      <w:r w:rsidRPr="009E4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&lt; 0.01 µg/L and no other environmental concern exists, assessment stops.</w:t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- </w:t>
      </w:r>
      <w:r w:rsidRPr="009E4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Tier/Phase II — effect assessment and risk characterization.</w:t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If the PEC exceeds the action limit, a PNEC is derived from base-set ecotoxicity tests, and the </w:t>
      </w:r>
      <w:r w:rsidRPr="009E4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PEC/PNEC ratio</w:t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is calculated. If \(RQ &lt; 1\), no further assessment is required.</w:t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- </w:t>
      </w:r>
      <w:r w:rsidRPr="009E4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III — refinement.</w:t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For \(RQ \</w:t>
      </w:r>
      <w:proofErr w:type="spellStart"/>
      <w:r w:rsidRPr="009E42D0">
        <w:rPr>
          <w:rFonts w:ascii="Times New Roman" w:eastAsia="Times New Roman" w:hAnsi="Times New Roman" w:cs="Times New Roman"/>
          <w:kern w:val="0"/>
          <w14:ligatures w14:val="none"/>
        </w:rPr>
        <w:t>geq</w:t>
      </w:r>
      <w:proofErr w:type="spellEnd"/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1\), the PEC and/or PNEC are refined with better fate data, additional environmental compartments (sediment, groundwater), long-term studies, or field/mesocosm work.</w:t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defining feature of pharmaceutical ERA is that </w:t>
      </w:r>
      <w:r w:rsidRPr="009E4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benefit takes precedence over environmental risk</w:t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— an unacceptable residual risk does not block approval of a human drug; instead it triggers mitigation (labeling on proper disposal, restricted/in-hospital use, or monitoring).</w:t>
      </w:r>
      <w:hyperlink r:id="rId10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[2]</w:t>
        </w:r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Regulatory frameworks are most developed in the EU, US, and Canada, and largely absent or emerging in Japan and Australia.</w:t>
      </w:r>
      <w:hyperlink r:id="rId11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[1]</w:t>
        </w:r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4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PEC vs. PNEC — the fundamental distinction:</w:t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these are the two opposing sides of the risk equation. PEC estimates </w:t>
      </w:r>
      <w:r w:rsidRPr="009E4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much is present</w:t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(exposure); PNEC estimates </w:t>
      </w:r>
      <w:r w:rsidRPr="009E4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much is safe</w:t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(effect/hazard). Risk exists only when exposure exceeds the safe threshold.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3475"/>
        <w:gridCol w:w="3370"/>
        <w:gridCol w:w="1195"/>
      </w:tblGrid>
      <w:tr w:rsidR="009E42D0" w:rsidRPr="009E42D0" w14:paraId="562E9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55A7" w14:textId="77777777" w:rsidR="009E42D0" w:rsidRPr="009E42D0" w:rsidRDefault="009E42D0" w:rsidP="009E42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42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FC9DB96" w14:textId="77777777" w:rsidR="009E42D0" w:rsidRPr="009E42D0" w:rsidRDefault="009E42D0" w:rsidP="009E42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42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PEC (Predicted Environmental Concentration)</w:t>
            </w:r>
          </w:p>
        </w:tc>
        <w:tc>
          <w:tcPr>
            <w:tcW w:w="0" w:type="auto"/>
            <w:vAlign w:val="center"/>
            <w:hideMark/>
          </w:tcPr>
          <w:p w14:paraId="4DF9BCE4" w14:textId="77777777" w:rsidR="009E42D0" w:rsidRPr="009E42D0" w:rsidRDefault="009E42D0" w:rsidP="009E42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42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PNEC (Predicted No-Effect Concentration)</w:t>
            </w:r>
          </w:p>
        </w:tc>
        <w:tc>
          <w:tcPr>
            <w:tcW w:w="0" w:type="auto"/>
            <w:vAlign w:val="center"/>
            <w:hideMark/>
          </w:tcPr>
          <w:p w14:paraId="00D067E6" w14:textId="77777777" w:rsidR="009E42D0" w:rsidRPr="009E42D0" w:rsidRDefault="009E42D0" w:rsidP="009E42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42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References</w:t>
            </w:r>
          </w:p>
        </w:tc>
      </w:tr>
      <w:tr w:rsidR="009E42D0" w:rsidRPr="009E42D0" w14:paraId="32497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B5C3E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2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represents</w:t>
            </w:r>
          </w:p>
        </w:tc>
        <w:tc>
          <w:tcPr>
            <w:tcW w:w="0" w:type="auto"/>
            <w:vAlign w:val="center"/>
            <w:hideMark/>
          </w:tcPr>
          <w:p w14:paraId="189E9144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2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Exposure — concentration expected in water/sediment</w:t>
            </w:r>
          </w:p>
        </w:tc>
        <w:tc>
          <w:tcPr>
            <w:tcW w:w="0" w:type="auto"/>
            <w:vAlign w:val="center"/>
            <w:hideMark/>
          </w:tcPr>
          <w:p w14:paraId="16378FE8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2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Effect threshold — concentration below which organisms are unlikely to be harmed</w:t>
            </w:r>
          </w:p>
        </w:tc>
        <w:tc>
          <w:tcPr>
            <w:tcW w:w="0" w:type="auto"/>
            <w:vAlign w:val="center"/>
            <w:hideMark/>
          </w:tcPr>
          <w:p w14:paraId="6C988594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2" w:history="1">
              <w:r w:rsidRPr="009E42D0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[3]</w:t>
              </w:r>
            </w:hyperlink>
            <w:r w:rsidRPr="009E42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hyperlink r:id="rId13" w:history="1">
              <w:r w:rsidRPr="009E42D0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[5]</w:t>
              </w:r>
            </w:hyperlink>
          </w:p>
        </w:tc>
      </w:tr>
      <w:tr w:rsidR="009E42D0" w:rsidRPr="009E42D0" w14:paraId="4B41C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AE0D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2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Derived from</w:t>
            </w:r>
          </w:p>
        </w:tc>
        <w:tc>
          <w:tcPr>
            <w:tcW w:w="0" w:type="auto"/>
            <w:vAlign w:val="center"/>
            <w:hideMark/>
          </w:tcPr>
          <w:p w14:paraId="3B2D09FB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2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Consumption/sales mass, excretion fraction, WWTP removal, wastewater volume, dilution factor</w:t>
            </w:r>
          </w:p>
        </w:tc>
        <w:tc>
          <w:tcPr>
            <w:tcW w:w="0" w:type="auto"/>
            <w:vAlign w:val="center"/>
            <w:hideMark/>
          </w:tcPr>
          <w:p w14:paraId="49E4B32E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2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Ecotoxicity test endpoints (EC50/LC50/NOEC) for algae, daphnids, fish</w:t>
            </w:r>
          </w:p>
        </w:tc>
        <w:tc>
          <w:tcPr>
            <w:tcW w:w="0" w:type="auto"/>
            <w:vAlign w:val="center"/>
            <w:hideMark/>
          </w:tcPr>
          <w:p w14:paraId="65BAD31C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4" w:history="1">
              <w:r w:rsidRPr="009E42D0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[2]</w:t>
              </w:r>
            </w:hyperlink>
            <w:r w:rsidRPr="009E42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hyperlink r:id="rId15" w:history="1">
              <w:r w:rsidRPr="009E42D0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[5]</w:t>
              </w:r>
            </w:hyperlink>
          </w:p>
        </w:tc>
      </w:tr>
      <w:tr w:rsidR="009E42D0" w:rsidRPr="009E42D0" w14:paraId="5F7FC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E9FCB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2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0154F40F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2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Drug-utilization + fate/hydrology data (or measured = MEC)</w:t>
            </w:r>
          </w:p>
        </w:tc>
        <w:tc>
          <w:tcPr>
            <w:tcW w:w="0" w:type="auto"/>
            <w:vAlign w:val="center"/>
            <w:hideMark/>
          </w:tcPr>
          <w:p w14:paraId="3323979A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2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Laboratory toxicity data</w:t>
            </w:r>
          </w:p>
        </w:tc>
        <w:tc>
          <w:tcPr>
            <w:tcW w:w="0" w:type="auto"/>
            <w:vAlign w:val="center"/>
            <w:hideMark/>
          </w:tcPr>
          <w:p w14:paraId="777BB29B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6" w:history="1">
              <w:r w:rsidRPr="009E42D0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[2]</w:t>
              </w:r>
            </w:hyperlink>
            <w:r w:rsidRPr="009E42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hyperlink r:id="rId17" w:history="1">
              <w:r w:rsidRPr="009E42D0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[3]</w:t>
              </w:r>
            </w:hyperlink>
          </w:p>
        </w:tc>
      </w:tr>
      <w:tr w:rsidR="009E42D0" w:rsidRPr="009E42D0" w14:paraId="031D4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643D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2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Key operation</w:t>
            </w:r>
          </w:p>
        </w:tc>
        <w:tc>
          <w:tcPr>
            <w:tcW w:w="0" w:type="auto"/>
            <w:vAlign w:val="center"/>
            <w:hideMark/>
          </w:tcPr>
          <w:p w14:paraId="191D61A9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2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Mass-balance emission model</w:t>
            </w:r>
          </w:p>
        </w:tc>
        <w:tc>
          <w:tcPr>
            <w:tcW w:w="0" w:type="auto"/>
            <w:vAlign w:val="center"/>
            <w:hideMark/>
          </w:tcPr>
          <w:p w14:paraId="173860A5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2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Lowest sensitive endpoint ÷ assessment factor (or SSD HC5 ÷ AF)</w:t>
            </w:r>
          </w:p>
        </w:tc>
        <w:tc>
          <w:tcPr>
            <w:tcW w:w="0" w:type="auto"/>
            <w:vAlign w:val="center"/>
            <w:hideMark/>
          </w:tcPr>
          <w:p w14:paraId="68E06205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8" w:history="1">
              <w:r w:rsidRPr="009E42D0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[2]</w:t>
              </w:r>
            </w:hyperlink>
            <w:r w:rsidRPr="009E42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hyperlink r:id="rId19" w:history="1">
              <w:r w:rsidRPr="009E42D0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[6]</w:t>
              </w:r>
            </w:hyperlink>
          </w:p>
        </w:tc>
      </w:tr>
      <w:tr w:rsidR="009E42D0" w:rsidRPr="009E42D0" w14:paraId="1AF6C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214D2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2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7D357E73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2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Concentration (e.g., µg/L)</w:t>
            </w:r>
          </w:p>
        </w:tc>
        <w:tc>
          <w:tcPr>
            <w:tcW w:w="0" w:type="auto"/>
            <w:vAlign w:val="center"/>
            <w:hideMark/>
          </w:tcPr>
          <w:p w14:paraId="08410189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2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Concentration (e.g., µg/L)</w:t>
            </w:r>
          </w:p>
        </w:tc>
        <w:tc>
          <w:tcPr>
            <w:tcW w:w="0" w:type="auto"/>
            <w:vAlign w:val="center"/>
            <w:hideMark/>
          </w:tcPr>
          <w:p w14:paraId="40E48CB5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0" w:history="1">
              <w:r w:rsidRPr="009E42D0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[5]</w:t>
              </w:r>
            </w:hyperlink>
          </w:p>
        </w:tc>
      </w:tr>
      <w:tr w:rsidR="009E42D0" w:rsidRPr="009E42D0" w14:paraId="00187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BE62E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2D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 in RQ</w:t>
            </w:r>
          </w:p>
        </w:tc>
        <w:tc>
          <w:tcPr>
            <w:tcW w:w="0" w:type="auto"/>
            <w:vAlign w:val="center"/>
            <w:hideMark/>
          </w:tcPr>
          <w:p w14:paraId="259A2D9B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2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Numerator</w:t>
            </w:r>
          </w:p>
        </w:tc>
        <w:tc>
          <w:tcPr>
            <w:tcW w:w="0" w:type="auto"/>
            <w:vAlign w:val="center"/>
            <w:hideMark/>
          </w:tcPr>
          <w:p w14:paraId="26D4644F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2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Denominator</w:t>
            </w:r>
          </w:p>
        </w:tc>
        <w:tc>
          <w:tcPr>
            <w:tcW w:w="0" w:type="auto"/>
            <w:vAlign w:val="center"/>
            <w:hideMark/>
          </w:tcPr>
          <w:p w14:paraId="3D18EBBD" w14:textId="77777777" w:rsidR="009E42D0" w:rsidRPr="009E42D0" w:rsidRDefault="009E42D0" w:rsidP="009E4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1" w:history="1">
              <w:r w:rsidRPr="009E42D0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[3]</w:t>
              </w:r>
            </w:hyperlink>
          </w:p>
        </w:tc>
      </w:tr>
    </w:tbl>
    <w:p w14:paraId="46BE156A" w14:textId="77777777" w:rsidR="009E42D0" w:rsidRPr="009E42D0" w:rsidRDefault="009E42D0" w:rsidP="009E42D0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4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the PNEC is derived (the part that differs most from PEC):</w:t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the PNEC is fundamentally an extrapolation from limited laboratory toxicity data to a protective real-world threshold, done by one of two approaches:</w:t>
      </w:r>
      <w:hyperlink r:id="rId22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[6]</w:t>
        </w:r>
      </w:hyperlink>
      <w:hyperlink r:id="rId23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[7]</w:t>
        </w:r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- </w:t>
      </w:r>
      <w:r w:rsidRPr="009E4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Assessment Factor (AF) method</w:t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— the conventional, most conservative approach. The </w:t>
      </w:r>
      <w:r w:rsidRPr="009E4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lowest available endpoint</w:t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(NOEC from chronic tests, or EC50/LC50 from acute tests) is divided by a fixed AF. The AF is large when data are sparse (up to </w:t>
      </w:r>
      <w:r w:rsidRPr="009E4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1000</w:t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for a single acute value) and smaller as more chronic, multi-species data accumulate.</w:t>
      </w:r>
      <w:hyperlink r:id="rId24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[2]</w:t>
        </w:r>
      </w:hyperlink>
      <w:hyperlink r:id="rId25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[6]</w:t>
        </w:r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- </w:t>
      </w:r>
      <w:r w:rsidRPr="009E4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Species Sensitivity Distribution (SSD) method</w:t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— increasingly used in the EU and US when enough data exist. An </w:t>
      </w:r>
      <w:r w:rsidRPr="009E4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HC5</w:t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(hazardous concentration protecting 95% of species) is modeled from the toxicity distribution and divided by a smaller AF.</w:t>
      </w:r>
      <w:hyperlink r:id="rId26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[6]</w:t>
        </w:r>
      </w:hyperlink>
      <w:hyperlink r:id="rId27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[8]</w:t>
        </w:r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  <w:t>Because the AF method uses only the single most sensitive endpoint, it performs best when species sensitivities are similar and can misrepresent risk when they vary widely; SSD and mechanistic ecosystem models (e.g., AQUATOX) can refine the estimate but require far more data.</w:t>
      </w:r>
      <w:hyperlink r:id="rId28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[6]</w:t>
        </w:r>
      </w:hyperlink>
      <w:hyperlink r:id="rId29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[9]</w:t>
        </w:r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The choice of endpoint matters greatly for drugs: PNECs based on </w:t>
      </w:r>
      <w:r w:rsidRPr="009E4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sublethal endpoints</w:t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(reproduction, biochemical/molecular effects) can be an order of magnitude lower than those from survival/growth data, so traditional endpoints may under-protect for pharmaceuticals with specific modes of action.</w:t>
      </w:r>
      <w:hyperlink r:id="rId30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[10]</w:t>
        </w:r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Acute-derived PNECs are usually — but not always — lower (more conservative) than chronic-derived ones.</w:t>
      </w:r>
      <w:hyperlink r:id="rId31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[11]</w:t>
        </w:r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42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caveat linking back to consumption-driven models:</w:t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the reliability of the RQ is only as good as both inputs. Default EMA parameters make the PEC deliberately conservative (over-predicting exposure ~100-fold in one European comparison), while the PNEC side is limited by data scarcity — of ~1,763 APIs registered in the EEA, only ~1.8% have enough ecotoxicity data to derive a PNEC, and only ~1.5% satisfy both exposure and effect data requirements for a complete ERA.</w:t>
      </w:r>
      <w:hyperlink r:id="rId32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[12]</w:t>
        </w:r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E42D0">
        <w:rPr>
          <w:rFonts w:ascii="Times New Roman" w:eastAsia="Times New Roman" w:hAnsi="Times New Roman" w:cs="Times New Roman"/>
          <w:kern w:val="0"/>
          <w14:ligatures w14:val="none"/>
        </w:rPr>
        <w:br/>
        <w:t>Would you like to explore how the assessment factor and SSD methods compare in the PNEC values they yield for pharmaceuticals?</w:t>
      </w:r>
    </w:p>
    <w:p w14:paraId="05486F2F" w14:textId="77777777" w:rsidR="009E42D0" w:rsidRPr="009E42D0" w:rsidRDefault="009E42D0" w:rsidP="009E42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2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References</w:t>
      </w:r>
    </w:p>
    <w:p w14:paraId="46DE1FDC" w14:textId="77777777" w:rsidR="009E42D0" w:rsidRPr="009E42D0" w:rsidRDefault="009E42D0" w:rsidP="009E4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3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Comparison of the Regulatory Outline of </w:t>
        </w:r>
        <w:proofErr w:type="spellStart"/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Ecopharmacovigilance</w:t>
        </w:r>
        <w:proofErr w:type="spellEnd"/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of Pharmaceuticals in Europe, USA, Japan and Australia</w:t>
        </w:r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. Jose J, Sandra Pinto J, Kotian B, Mathew Thomas A, Narayana </w:t>
      </w:r>
      <w:proofErr w:type="spellStart"/>
      <w:r w:rsidRPr="009E42D0">
        <w:rPr>
          <w:rFonts w:ascii="Times New Roman" w:eastAsia="Times New Roman" w:hAnsi="Times New Roman" w:cs="Times New Roman"/>
          <w:kern w:val="0"/>
          <w14:ligatures w14:val="none"/>
        </w:rPr>
        <w:t>Charyulu</w:t>
      </w:r>
      <w:proofErr w:type="spellEnd"/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R. The Science of the Total Environment. 2020;709:134815. doi:10.1016/j.scitotenv.2019.134815.</w:t>
      </w:r>
    </w:p>
    <w:p w14:paraId="52792731" w14:textId="77777777" w:rsidR="009E42D0" w:rsidRPr="009E42D0" w:rsidRDefault="009E42D0" w:rsidP="009E4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4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Environmental Risk Assessment for New Human Pharmaceuticals in the European Union According to the Draft Guideline/Discussion Paper of January 2001</w:t>
        </w:r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t>. Straub JO. Toxicology Letters. 2002;131(1-2):137-43. doi:10.1016/s0378-4274(02)00049-8.</w:t>
      </w:r>
    </w:p>
    <w:p w14:paraId="0CE16EB3" w14:textId="77777777" w:rsidR="009E42D0" w:rsidRPr="009E42D0" w:rsidRDefault="009E42D0" w:rsidP="009E4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5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Assessing the Environmental Impact of Wastewaters</w:t>
        </w:r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t>. Isnard P. Ecotoxicology and Environmental Safety. 1998 May-Jun;40(1-2):88-93. doi:10.1006/eesa.1998.1647.</w:t>
      </w:r>
    </w:p>
    <w:p w14:paraId="3F609215" w14:textId="77777777" w:rsidR="009E42D0" w:rsidRPr="009E42D0" w:rsidRDefault="009E42D0" w:rsidP="009E4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6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Environmental Risk Assessment for New Human Pharmaceuticals in the European Union According to the Draft Guideline/Discussion Paper of January 2001</w:t>
        </w:r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t>. Straub JO. Toxicology Letters. 2002;135(3):231-7. doi:10.1016/s0378-4274(02)00210-2.</w:t>
      </w:r>
    </w:p>
    <w:p w14:paraId="76D10D49" w14:textId="77777777" w:rsidR="009E42D0" w:rsidRPr="009E42D0" w:rsidRDefault="009E42D0" w:rsidP="009E4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7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Derivation of Predicted No-Effect Concentrations for Lindane, 3, 4-Dichloroaniline, Atrazine, and Copper</w:t>
        </w:r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t>. Girling AE, Tattersfield L, Mitchell GC, et al. Ecotoxicology and Environmental Safety. 2000;46(2):148-62. doi:10.1006/eesa.1999.1901.</w:t>
      </w:r>
    </w:p>
    <w:p w14:paraId="4CF7ABAB" w14:textId="77777777" w:rsidR="009E42D0" w:rsidRPr="009E42D0" w:rsidRDefault="009E42D0" w:rsidP="009E4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8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Quantifying the Precision of Ecological Risk: Conventional Assessment Factor Method vs. Species Sensitivity Distribution Method</w:t>
        </w:r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t>. Sorgog K, Kamo M. Ecotoxicology and Environmental Safety. 2019;183:109494. doi:10.1016/j.ecoenv.2019.109494.</w:t>
      </w:r>
    </w:p>
    <w:p w14:paraId="5481AC97" w14:textId="77777777" w:rsidR="009E42D0" w:rsidRPr="009E42D0" w:rsidRDefault="009E42D0" w:rsidP="009E4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9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Comparisons of PNEC Derivation Logic Flows Under Example Regulatory Schemes and Implications for </w:t>
        </w:r>
        <w:proofErr w:type="spellStart"/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ecoTTC</w:t>
        </w:r>
        <w:proofErr w:type="spellEnd"/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t>. Belanger SE, Beasley A, Brill JL, et al. Regulatory Toxicology and Pharmacology : RTP. 2021;123:104933. doi:10.1016/j.yrtph.2021.104933.</w:t>
      </w:r>
    </w:p>
    <w:p w14:paraId="0DC70529" w14:textId="77777777" w:rsidR="009E42D0" w:rsidRPr="009E42D0" w:rsidRDefault="009E42D0" w:rsidP="009E4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0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Deriving Acute and Chronic Predicted No Effect Concentrations of Pharmaceuticals and Personal Care Products Based on Species Sensitivity Distributions</w:t>
        </w:r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t>. Zhao W, Wang B, Wang Y, et al. Ecotoxicology and Environmental Safety. 2017;144:537-542. doi:10.1016/j.ecoenv.2017.06.058.</w:t>
      </w:r>
    </w:p>
    <w:p w14:paraId="271DA361" w14:textId="77777777" w:rsidR="009E42D0" w:rsidRPr="009E42D0" w:rsidRDefault="009E42D0" w:rsidP="009E4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1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Deriving Predicted No-Effect Concentrations (PNECs) for Emerging Contaminants in the River Po, Italy, Using Three Approaches: Assessment Factor, Species Sensitivity Distribution and AQUATOX Ecosystem Modelling</w:t>
        </w:r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9E42D0">
        <w:rPr>
          <w:rFonts w:ascii="Times New Roman" w:eastAsia="Times New Roman" w:hAnsi="Times New Roman" w:cs="Times New Roman"/>
          <w:kern w:val="0"/>
          <w14:ligatures w14:val="none"/>
        </w:rPr>
        <w:t>Gredelj</w:t>
      </w:r>
      <w:proofErr w:type="spellEnd"/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A, </w:t>
      </w:r>
      <w:proofErr w:type="spellStart"/>
      <w:r w:rsidRPr="009E42D0">
        <w:rPr>
          <w:rFonts w:ascii="Times New Roman" w:eastAsia="Times New Roman" w:hAnsi="Times New Roman" w:cs="Times New Roman"/>
          <w:kern w:val="0"/>
          <w14:ligatures w14:val="none"/>
        </w:rPr>
        <w:t>Barausse</w:t>
      </w:r>
      <w:proofErr w:type="spellEnd"/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A, </w:t>
      </w:r>
      <w:proofErr w:type="spellStart"/>
      <w:r w:rsidRPr="009E42D0">
        <w:rPr>
          <w:rFonts w:ascii="Times New Roman" w:eastAsia="Times New Roman" w:hAnsi="Times New Roman" w:cs="Times New Roman"/>
          <w:kern w:val="0"/>
          <w14:ligatures w14:val="none"/>
        </w:rPr>
        <w:t>Grechi</w:t>
      </w:r>
      <w:proofErr w:type="spellEnd"/>
      <w:r w:rsidRPr="009E42D0">
        <w:rPr>
          <w:rFonts w:ascii="Times New Roman" w:eastAsia="Times New Roman" w:hAnsi="Times New Roman" w:cs="Times New Roman"/>
          <w:kern w:val="0"/>
          <w14:ligatures w14:val="none"/>
        </w:rPr>
        <w:t xml:space="preserve"> L, Palmeri L. Environment International. 2018;119:66-78. doi:10.1016/j.envint.2018.06.017.</w:t>
      </w:r>
    </w:p>
    <w:p w14:paraId="37117D88" w14:textId="77777777" w:rsidR="009E42D0" w:rsidRPr="009E42D0" w:rsidRDefault="009E42D0" w:rsidP="009E4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2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Derivation of Aquatic Predicted No-Effect Concentration (PNEC) for Ibuprofen and Sulfamethoxazole Based on Various Toxicity Endpoints and the Associated Risks</w:t>
        </w:r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t>. Huang Q, Bu Q, Zhong W, et al. Chemosphere. 2018;193:223-229. doi:10.1016/j.chemosphere.2017.11.029.</w:t>
      </w:r>
    </w:p>
    <w:p w14:paraId="35099436" w14:textId="77777777" w:rsidR="009E42D0" w:rsidRPr="009E42D0" w:rsidRDefault="009E42D0" w:rsidP="009E4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3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Use of Acute and Chronic Ecotoxicity Data in Environmental Risk Assessment of Pharmaceuticals</w:t>
        </w:r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t>. Vestel J, Caldwell DJ, Constantine L, et al. Environmental Toxicology and Chemistry. 2016;35(5):1201-12. doi:10.1002/etc.3260.</w:t>
      </w:r>
    </w:p>
    <w:p w14:paraId="4B87B23C" w14:textId="77777777" w:rsidR="009E42D0" w:rsidRPr="009E42D0" w:rsidRDefault="009E42D0" w:rsidP="009E42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4" w:history="1">
        <w:r w:rsidRPr="009E42D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Defining the Data Gap: What Do We Know About Environmental Exposure, Hazards and Risks of Pharmaceuticals in the European Aquatic Environment?</w:t>
        </w:r>
      </w:hyperlink>
      <w:r w:rsidRPr="009E42D0">
        <w:rPr>
          <w:rFonts w:ascii="Times New Roman" w:eastAsia="Times New Roman" w:hAnsi="Times New Roman" w:cs="Times New Roman"/>
          <w:kern w:val="0"/>
          <w14:ligatures w14:val="none"/>
        </w:rPr>
        <w:t>. Spilsbury FD, Inostroza PA, Svedberg P, et al. Water Research. 2024;251:121002. doi:10.1016/j.watres.2023.121002.</w:t>
      </w:r>
    </w:p>
    <w:p w14:paraId="62133C3B" w14:textId="77777777" w:rsidR="008019FF" w:rsidRDefault="008019FF"/>
    <w:sectPr w:rsidR="008019FF" w:rsidSect="00E74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3F0C24"/>
    <w:multiLevelType w:val="multilevel"/>
    <w:tmpl w:val="C388C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B640F9"/>
    <w:multiLevelType w:val="multilevel"/>
    <w:tmpl w:val="B58A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9947161">
    <w:abstractNumId w:val="1"/>
  </w:num>
  <w:num w:numId="2" w16cid:durableId="10296431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6E7"/>
    <w:rsid w:val="0000014E"/>
    <w:rsid w:val="000225CC"/>
    <w:rsid w:val="00026CB1"/>
    <w:rsid w:val="00030371"/>
    <w:rsid w:val="00032DAF"/>
    <w:rsid w:val="00043A39"/>
    <w:rsid w:val="00043D1A"/>
    <w:rsid w:val="00051230"/>
    <w:rsid w:val="00052AA3"/>
    <w:rsid w:val="00066925"/>
    <w:rsid w:val="00076423"/>
    <w:rsid w:val="000927C8"/>
    <w:rsid w:val="000952AD"/>
    <w:rsid w:val="000B502A"/>
    <w:rsid w:val="000B7911"/>
    <w:rsid w:val="000C26A0"/>
    <w:rsid w:val="000D5810"/>
    <w:rsid w:val="000E3574"/>
    <w:rsid w:val="000F0341"/>
    <w:rsid w:val="000F1363"/>
    <w:rsid w:val="000F2B6F"/>
    <w:rsid w:val="000F5186"/>
    <w:rsid w:val="00117B38"/>
    <w:rsid w:val="00123233"/>
    <w:rsid w:val="001369C9"/>
    <w:rsid w:val="00155D10"/>
    <w:rsid w:val="001619CD"/>
    <w:rsid w:val="00161C31"/>
    <w:rsid w:val="00171DD4"/>
    <w:rsid w:val="00176058"/>
    <w:rsid w:val="0019154B"/>
    <w:rsid w:val="00192173"/>
    <w:rsid w:val="001945E2"/>
    <w:rsid w:val="00194C8D"/>
    <w:rsid w:val="001A1B60"/>
    <w:rsid w:val="001A6B63"/>
    <w:rsid w:val="001B5C3C"/>
    <w:rsid w:val="001C13A6"/>
    <w:rsid w:val="001C50BD"/>
    <w:rsid w:val="001C623E"/>
    <w:rsid w:val="001D2BCF"/>
    <w:rsid w:val="001D572D"/>
    <w:rsid w:val="001E3900"/>
    <w:rsid w:val="001F1277"/>
    <w:rsid w:val="00205FE6"/>
    <w:rsid w:val="002129C7"/>
    <w:rsid w:val="00220758"/>
    <w:rsid w:val="00235D48"/>
    <w:rsid w:val="002403F8"/>
    <w:rsid w:val="0024084F"/>
    <w:rsid w:val="002420D2"/>
    <w:rsid w:val="00257DC2"/>
    <w:rsid w:val="00257E81"/>
    <w:rsid w:val="00260B76"/>
    <w:rsid w:val="002709EE"/>
    <w:rsid w:val="00296535"/>
    <w:rsid w:val="002C0854"/>
    <w:rsid w:val="002C53BF"/>
    <w:rsid w:val="002C5A2E"/>
    <w:rsid w:val="002C69FB"/>
    <w:rsid w:val="002D1CAE"/>
    <w:rsid w:val="002F6AFA"/>
    <w:rsid w:val="00321771"/>
    <w:rsid w:val="00322D4D"/>
    <w:rsid w:val="0032376F"/>
    <w:rsid w:val="0033493F"/>
    <w:rsid w:val="003400D0"/>
    <w:rsid w:val="00343605"/>
    <w:rsid w:val="00361628"/>
    <w:rsid w:val="00366381"/>
    <w:rsid w:val="00370C1F"/>
    <w:rsid w:val="003713AF"/>
    <w:rsid w:val="00381F9F"/>
    <w:rsid w:val="003B5639"/>
    <w:rsid w:val="003B7400"/>
    <w:rsid w:val="003D05ED"/>
    <w:rsid w:val="003D47ED"/>
    <w:rsid w:val="003D77F8"/>
    <w:rsid w:val="003E4FE1"/>
    <w:rsid w:val="003E527F"/>
    <w:rsid w:val="003E75A4"/>
    <w:rsid w:val="003F114C"/>
    <w:rsid w:val="004176ED"/>
    <w:rsid w:val="00420B37"/>
    <w:rsid w:val="004227C0"/>
    <w:rsid w:val="00425AEB"/>
    <w:rsid w:val="0045313B"/>
    <w:rsid w:val="004535C0"/>
    <w:rsid w:val="00456898"/>
    <w:rsid w:val="00474DD1"/>
    <w:rsid w:val="00485EE2"/>
    <w:rsid w:val="004A40E4"/>
    <w:rsid w:val="004A621F"/>
    <w:rsid w:val="004C12D1"/>
    <w:rsid w:val="004C260E"/>
    <w:rsid w:val="004C592D"/>
    <w:rsid w:val="004C67BA"/>
    <w:rsid w:val="004C6907"/>
    <w:rsid w:val="004C6ED8"/>
    <w:rsid w:val="004D5037"/>
    <w:rsid w:val="004E72FC"/>
    <w:rsid w:val="00502605"/>
    <w:rsid w:val="00506BB8"/>
    <w:rsid w:val="00510B22"/>
    <w:rsid w:val="00515A13"/>
    <w:rsid w:val="00516874"/>
    <w:rsid w:val="00521853"/>
    <w:rsid w:val="00524BBC"/>
    <w:rsid w:val="00525637"/>
    <w:rsid w:val="00541959"/>
    <w:rsid w:val="005579D4"/>
    <w:rsid w:val="005649C0"/>
    <w:rsid w:val="005747A3"/>
    <w:rsid w:val="00577704"/>
    <w:rsid w:val="00594865"/>
    <w:rsid w:val="005A1526"/>
    <w:rsid w:val="005A2B18"/>
    <w:rsid w:val="005A7674"/>
    <w:rsid w:val="005B51CD"/>
    <w:rsid w:val="005D111E"/>
    <w:rsid w:val="005D561D"/>
    <w:rsid w:val="0060605F"/>
    <w:rsid w:val="00611D43"/>
    <w:rsid w:val="00612026"/>
    <w:rsid w:val="00614C89"/>
    <w:rsid w:val="006222B1"/>
    <w:rsid w:val="00624280"/>
    <w:rsid w:val="006328FA"/>
    <w:rsid w:val="00651360"/>
    <w:rsid w:val="00654A3E"/>
    <w:rsid w:val="006653F1"/>
    <w:rsid w:val="00666CAA"/>
    <w:rsid w:val="00676A29"/>
    <w:rsid w:val="00683D48"/>
    <w:rsid w:val="00686573"/>
    <w:rsid w:val="00697BED"/>
    <w:rsid w:val="006B4153"/>
    <w:rsid w:val="006C4B75"/>
    <w:rsid w:val="006C69EC"/>
    <w:rsid w:val="006E0236"/>
    <w:rsid w:val="00702A7E"/>
    <w:rsid w:val="0070339C"/>
    <w:rsid w:val="0072082B"/>
    <w:rsid w:val="00731AF5"/>
    <w:rsid w:val="00732AFB"/>
    <w:rsid w:val="007338C7"/>
    <w:rsid w:val="00766475"/>
    <w:rsid w:val="00783535"/>
    <w:rsid w:val="00785734"/>
    <w:rsid w:val="00791975"/>
    <w:rsid w:val="00795AB7"/>
    <w:rsid w:val="007978EE"/>
    <w:rsid w:val="00797EC7"/>
    <w:rsid w:val="007A535D"/>
    <w:rsid w:val="007B1ABB"/>
    <w:rsid w:val="007D09A1"/>
    <w:rsid w:val="007D1D11"/>
    <w:rsid w:val="007D6B8A"/>
    <w:rsid w:val="007E6D8B"/>
    <w:rsid w:val="007F3079"/>
    <w:rsid w:val="008019FF"/>
    <w:rsid w:val="00801F1B"/>
    <w:rsid w:val="0080477A"/>
    <w:rsid w:val="0081324F"/>
    <w:rsid w:val="00826996"/>
    <w:rsid w:val="00851B99"/>
    <w:rsid w:val="00853D53"/>
    <w:rsid w:val="00873AFE"/>
    <w:rsid w:val="00886AB0"/>
    <w:rsid w:val="00886B15"/>
    <w:rsid w:val="00894427"/>
    <w:rsid w:val="00897AFF"/>
    <w:rsid w:val="008A71EA"/>
    <w:rsid w:val="008B7D99"/>
    <w:rsid w:val="008C0B93"/>
    <w:rsid w:val="008E2015"/>
    <w:rsid w:val="008E4EE4"/>
    <w:rsid w:val="008E7CAA"/>
    <w:rsid w:val="00902232"/>
    <w:rsid w:val="009029CC"/>
    <w:rsid w:val="009035E3"/>
    <w:rsid w:val="00914AC2"/>
    <w:rsid w:val="00916A1D"/>
    <w:rsid w:val="00917B8F"/>
    <w:rsid w:val="00922412"/>
    <w:rsid w:val="00931228"/>
    <w:rsid w:val="009412F3"/>
    <w:rsid w:val="009425BC"/>
    <w:rsid w:val="00975419"/>
    <w:rsid w:val="00983A98"/>
    <w:rsid w:val="009878CC"/>
    <w:rsid w:val="009937DE"/>
    <w:rsid w:val="0099640C"/>
    <w:rsid w:val="009A4CE6"/>
    <w:rsid w:val="009C4F18"/>
    <w:rsid w:val="009C726B"/>
    <w:rsid w:val="009D0244"/>
    <w:rsid w:val="009D2ADE"/>
    <w:rsid w:val="009D34BC"/>
    <w:rsid w:val="009D52B4"/>
    <w:rsid w:val="009E42D0"/>
    <w:rsid w:val="009F365C"/>
    <w:rsid w:val="00A239AE"/>
    <w:rsid w:val="00A27A20"/>
    <w:rsid w:val="00A42C19"/>
    <w:rsid w:val="00A57008"/>
    <w:rsid w:val="00A65485"/>
    <w:rsid w:val="00A724D8"/>
    <w:rsid w:val="00A92F7C"/>
    <w:rsid w:val="00AB1361"/>
    <w:rsid w:val="00AB1A33"/>
    <w:rsid w:val="00AC1B89"/>
    <w:rsid w:val="00AC55F1"/>
    <w:rsid w:val="00AC7C66"/>
    <w:rsid w:val="00AC7E77"/>
    <w:rsid w:val="00AD2651"/>
    <w:rsid w:val="00AD6F95"/>
    <w:rsid w:val="00AF3FB9"/>
    <w:rsid w:val="00B107FB"/>
    <w:rsid w:val="00B11031"/>
    <w:rsid w:val="00B13BA0"/>
    <w:rsid w:val="00B13CF4"/>
    <w:rsid w:val="00B201F6"/>
    <w:rsid w:val="00B20BAF"/>
    <w:rsid w:val="00B3487E"/>
    <w:rsid w:val="00B42AFF"/>
    <w:rsid w:val="00B46A48"/>
    <w:rsid w:val="00B5772C"/>
    <w:rsid w:val="00B6199A"/>
    <w:rsid w:val="00B641FF"/>
    <w:rsid w:val="00B64328"/>
    <w:rsid w:val="00B744C7"/>
    <w:rsid w:val="00B77531"/>
    <w:rsid w:val="00B83408"/>
    <w:rsid w:val="00B922BA"/>
    <w:rsid w:val="00B975CF"/>
    <w:rsid w:val="00BA0B29"/>
    <w:rsid w:val="00BA6CE6"/>
    <w:rsid w:val="00BB00AA"/>
    <w:rsid w:val="00BB1EA0"/>
    <w:rsid w:val="00BB727C"/>
    <w:rsid w:val="00BB7543"/>
    <w:rsid w:val="00BE3123"/>
    <w:rsid w:val="00BE58C0"/>
    <w:rsid w:val="00BE77C7"/>
    <w:rsid w:val="00BF1E02"/>
    <w:rsid w:val="00BF5C1B"/>
    <w:rsid w:val="00BF6F64"/>
    <w:rsid w:val="00C12053"/>
    <w:rsid w:val="00C21A21"/>
    <w:rsid w:val="00C246A5"/>
    <w:rsid w:val="00C33BE5"/>
    <w:rsid w:val="00C3473F"/>
    <w:rsid w:val="00C43FF4"/>
    <w:rsid w:val="00C604CF"/>
    <w:rsid w:val="00C67193"/>
    <w:rsid w:val="00C67672"/>
    <w:rsid w:val="00C7778F"/>
    <w:rsid w:val="00C8043C"/>
    <w:rsid w:val="00C81837"/>
    <w:rsid w:val="00C83ECD"/>
    <w:rsid w:val="00CA0B4C"/>
    <w:rsid w:val="00CA520F"/>
    <w:rsid w:val="00CB6D99"/>
    <w:rsid w:val="00CC0AF1"/>
    <w:rsid w:val="00CE75DF"/>
    <w:rsid w:val="00CF1162"/>
    <w:rsid w:val="00CF262B"/>
    <w:rsid w:val="00CF33C1"/>
    <w:rsid w:val="00D0697F"/>
    <w:rsid w:val="00D16D5C"/>
    <w:rsid w:val="00D25CAD"/>
    <w:rsid w:val="00D25FC3"/>
    <w:rsid w:val="00D27CB5"/>
    <w:rsid w:val="00D33DF9"/>
    <w:rsid w:val="00D36490"/>
    <w:rsid w:val="00D36D06"/>
    <w:rsid w:val="00D47E34"/>
    <w:rsid w:val="00D538FF"/>
    <w:rsid w:val="00D568DA"/>
    <w:rsid w:val="00D643FA"/>
    <w:rsid w:val="00D72074"/>
    <w:rsid w:val="00D74EB4"/>
    <w:rsid w:val="00D93E88"/>
    <w:rsid w:val="00D97583"/>
    <w:rsid w:val="00DA5D5D"/>
    <w:rsid w:val="00DB5E21"/>
    <w:rsid w:val="00DC0632"/>
    <w:rsid w:val="00DC43D8"/>
    <w:rsid w:val="00DC448B"/>
    <w:rsid w:val="00DD16FF"/>
    <w:rsid w:val="00DE055E"/>
    <w:rsid w:val="00DE71F5"/>
    <w:rsid w:val="00DF49FD"/>
    <w:rsid w:val="00DF5F21"/>
    <w:rsid w:val="00DF7DC8"/>
    <w:rsid w:val="00E00229"/>
    <w:rsid w:val="00E037D6"/>
    <w:rsid w:val="00E126B4"/>
    <w:rsid w:val="00E270F7"/>
    <w:rsid w:val="00E36AE3"/>
    <w:rsid w:val="00E3700A"/>
    <w:rsid w:val="00E41AFF"/>
    <w:rsid w:val="00E4327E"/>
    <w:rsid w:val="00E52187"/>
    <w:rsid w:val="00E57E21"/>
    <w:rsid w:val="00E73F88"/>
    <w:rsid w:val="00E74B15"/>
    <w:rsid w:val="00E93146"/>
    <w:rsid w:val="00E93320"/>
    <w:rsid w:val="00EB05A7"/>
    <w:rsid w:val="00EB5053"/>
    <w:rsid w:val="00EE72DB"/>
    <w:rsid w:val="00EF192B"/>
    <w:rsid w:val="00EF6C44"/>
    <w:rsid w:val="00EF7D82"/>
    <w:rsid w:val="00F126E7"/>
    <w:rsid w:val="00F132F1"/>
    <w:rsid w:val="00F25BF4"/>
    <w:rsid w:val="00F36559"/>
    <w:rsid w:val="00F53117"/>
    <w:rsid w:val="00F70244"/>
    <w:rsid w:val="00F72199"/>
    <w:rsid w:val="00F90D92"/>
    <w:rsid w:val="00FB6876"/>
    <w:rsid w:val="00FD3DC0"/>
    <w:rsid w:val="00FF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3EE214"/>
  <w15:chartTrackingRefBased/>
  <w15:docId w15:val="{F3AD510E-1297-FC4F-B141-45B0C9056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2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2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6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2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26E7"/>
    <w:rPr>
      <w:b/>
      <w:bCs/>
    </w:rPr>
  </w:style>
  <w:style w:type="character" w:customStyle="1" w:styleId="muibox-root">
    <w:name w:val="muibox-root"/>
    <w:basedOn w:val="DefaultParagraphFont"/>
    <w:rsid w:val="00F126E7"/>
  </w:style>
  <w:style w:type="character" w:styleId="Hyperlink">
    <w:name w:val="Hyperlink"/>
    <w:basedOn w:val="DefaultParagraphFont"/>
    <w:uiPriority w:val="99"/>
    <w:semiHidden/>
    <w:unhideWhenUsed/>
    <w:rsid w:val="009E42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ubmed.ncbi.nlm.nih.gov/10831327" TargetMode="External"/><Relationship Id="rId18" Type="http://schemas.openxmlformats.org/officeDocument/2006/relationships/hyperlink" Target="https://pubmed.ncbi.nlm.nih.gov/11988366" TargetMode="External"/><Relationship Id="rId26" Type="http://schemas.openxmlformats.org/officeDocument/2006/relationships/hyperlink" Target="https://pubmed.ncbi.nlm.nih.gov/31376805" TargetMode="External"/><Relationship Id="rId39" Type="http://schemas.openxmlformats.org/officeDocument/2006/relationships/hyperlink" Target="https://pubmed.ncbi.nlm.nih.gov/33891999" TargetMode="External"/><Relationship Id="rId21" Type="http://schemas.openxmlformats.org/officeDocument/2006/relationships/hyperlink" Target="https://pubmed.ncbi.nlm.nih.gov/9626541" TargetMode="External"/><Relationship Id="rId34" Type="http://schemas.openxmlformats.org/officeDocument/2006/relationships/hyperlink" Target="https://pubmed.ncbi.nlm.nih.gov/11988366" TargetMode="External"/><Relationship Id="rId42" Type="http://schemas.openxmlformats.org/officeDocument/2006/relationships/hyperlink" Target="https://pubmed.ncbi.nlm.nih.gov/29136568" TargetMode="External"/><Relationship Id="rId7" Type="http://schemas.openxmlformats.org/officeDocument/2006/relationships/hyperlink" Target="https://pubmed.ncbi.nlm.nih.gov/9626541" TargetMode="External"/><Relationship Id="rId2" Type="http://schemas.openxmlformats.org/officeDocument/2006/relationships/styles" Target="styles.xml"/><Relationship Id="rId16" Type="http://schemas.openxmlformats.org/officeDocument/2006/relationships/hyperlink" Target="https://pubmed.ncbi.nlm.nih.gov/11988366" TargetMode="External"/><Relationship Id="rId29" Type="http://schemas.openxmlformats.org/officeDocument/2006/relationships/hyperlink" Target="https://pubmed.ncbi.nlm.nih.gov/2993542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ubmed.ncbi.nlm.nih.gov/11988366" TargetMode="External"/><Relationship Id="rId11" Type="http://schemas.openxmlformats.org/officeDocument/2006/relationships/hyperlink" Target="https://pubmed.ncbi.nlm.nih.gov/31887508" TargetMode="External"/><Relationship Id="rId24" Type="http://schemas.openxmlformats.org/officeDocument/2006/relationships/hyperlink" Target="https://pubmed.ncbi.nlm.nih.gov/11988366" TargetMode="External"/><Relationship Id="rId32" Type="http://schemas.openxmlformats.org/officeDocument/2006/relationships/hyperlink" Target="https://pubmed.ncbi.nlm.nih.gov/38309057" TargetMode="External"/><Relationship Id="rId37" Type="http://schemas.openxmlformats.org/officeDocument/2006/relationships/hyperlink" Target="https://pubmed.ncbi.nlm.nih.gov/10831327" TargetMode="External"/><Relationship Id="rId40" Type="http://schemas.openxmlformats.org/officeDocument/2006/relationships/hyperlink" Target="https://pubmed.ncbi.nlm.nih.gov/28688354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pubmed.ncbi.nlm.nih.gov/31887508" TargetMode="External"/><Relationship Id="rId15" Type="http://schemas.openxmlformats.org/officeDocument/2006/relationships/hyperlink" Target="https://pubmed.ncbi.nlm.nih.gov/10831327" TargetMode="External"/><Relationship Id="rId23" Type="http://schemas.openxmlformats.org/officeDocument/2006/relationships/hyperlink" Target="https://pubmed.ncbi.nlm.nih.gov/33891999" TargetMode="External"/><Relationship Id="rId28" Type="http://schemas.openxmlformats.org/officeDocument/2006/relationships/hyperlink" Target="https://pubmed.ncbi.nlm.nih.gov/31376805" TargetMode="External"/><Relationship Id="rId36" Type="http://schemas.openxmlformats.org/officeDocument/2006/relationships/hyperlink" Target="https://pubmed.ncbi.nlm.nih.gov/12270681" TargetMode="External"/><Relationship Id="rId10" Type="http://schemas.openxmlformats.org/officeDocument/2006/relationships/hyperlink" Target="https://pubmed.ncbi.nlm.nih.gov/11988366" TargetMode="External"/><Relationship Id="rId19" Type="http://schemas.openxmlformats.org/officeDocument/2006/relationships/hyperlink" Target="https://pubmed.ncbi.nlm.nih.gov/31376805" TargetMode="External"/><Relationship Id="rId31" Type="http://schemas.openxmlformats.org/officeDocument/2006/relationships/hyperlink" Target="https://pubmed.ncbi.nlm.nih.gov/26403382" TargetMode="External"/><Relationship Id="rId44" Type="http://schemas.openxmlformats.org/officeDocument/2006/relationships/hyperlink" Target="https://pubmed.ncbi.nlm.nih.gov/3830905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12270681" TargetMode="External"/><Relationship Id="rId14" Type="http://schemas.openxmlformats.org/officeDocument/2006/relationships/hyperlink" Target="https://pubmed.ncbi.nlm.nih.gov/11988366" TargetMode="External"/><Relationship Id="rId22" Type="http://schemas.openxmlformats.org/officeDocument/2006/relationships/hyperlink" Target="https://pubmed.ncbi.nlm.nih.gov/31376805" TargetMode="External"/><Relationship Id="rId27" Type="http://schemas.openxmlformats.org/officeDocument/2006/relationships/hyperlink" Target="https://pubmed.ncbi.nlm.nih.gov/28688354" TargetMode="External"/><Relationship Id="rId30" Type="http://schemas.openxmlformats.org/officeDocument/2006/relationships/hyperlink" Target="https://pubmed.ncbi.nlm.nih.gov/29136568" TargetMode="External"/><Relationship Id="rId35" Type="http://schemas.openxmlformats.org/officeDocument/2006/relationships/hyperlink" Target="https://pubmed.ncbi.nlm.nih.gov/9626541" TargetMode="External"/><Relationship Id="rId43" Type="http://schemas.openxmlformats.org/officeDocument/2006/relationships/hyperlink" Target="https://pubmed.ncbi.nlm.nih.gov/26403382" TargetMode="External"/><Relationship Id="rId8" Type="http://schemas.openxmlformats.org/officeDocument/2006/relationships/hyperlink" Target="https://pubmed.ncbi.nlm.nih.gov/11988366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ubmed.ncbi.nlm.nih.gov/9626541" TargetMode="External"/><Relationship Id="rId17" Type="http://schemas.openxmlformats.org/officeDocument/2006/relationships/hyperlink" Target="https://pubmed.ncbi.nlm.nih.gov/9626541" TargetMode="External"/><Relationship Id="rId25" Type="http://schemas.openxmlformats.org/officeDocument/2006/relationships/hyperlink" Target="https://pubmed.ncbi.nlm.nih.gov/31376805" TargetMode="External"/><Relationship Id="rId33" Type="http://schemas.openxmlformats.org/officeDocument/2006/relationships/hyperlink" Target="https://pubmed.ncbi.nlm.nih.gov/31887508" TargetMode="External"/><Relationship Id="rId38" Type="http://schemas.openxmlformats.org/officeDocument/2006/relationships/hyperlink" Target="https://pubmed.ncbi.nlm.nih.gov/31376805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pubmed.ncbi.nlm.nih.gov/10831327" TargetMode="External"/><Relationship Id="rId41" Type="http://schemas.openxmlformats.org/officeDocument/2006/relationships/hyperlink" Target="https://pubmed.ncbi.nlm.nih.gov/299354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1522</Words>
  <Characters>8676</Characters>
  <Application>Microsoft Office Word</Application>
  <DocSecurity>0</DocSecurity>
  <Lines>72</Lines>
  <Paragraphs>20</Paragraphs>
  <ScaleCrop>false</ScaleCrop>
  <Company/>
  <LinksUpToDate>false</LinksUpToDate>
  <CharactersWithSpaces>10178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Soko Setoguchi</dc:creator>
  <cp:keywords/>
  <dc:description/>
  <cp:lastModifiedBy>Soko Setoguchi</cp:lastModifiedBy>
  <cp:revision>2</cp:revision>
  <dcterms:created xsi:type="dcterms:W3CDTF">2026-08-26T19:07:00Z</dcterms:created>
  <dcterms:modified xsi:type="dcterms:W3CDTF">2026-08-26T19:09:00Z</dcterms:modified>
</cp:coreProperties>
</file>