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960" w:type="dxa"/>
        <w:tblInd w:w="-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59"/>
        <w:gridCol w:w="1856"/>
        <w:gridCol w:w="2428"/>
        <w:gridCol w:w="1756"/>
        <w:gridCol w:w="1473"/>
        <w:gridCol w:w="1792"/>
        <w:gridCol w:w="1896"/>
      </w:tblGrid>
      <w:tr w:rsidR="005E51AD" w:rsidRPr="005E51AD" w14:paraId="37A0EDAF" w14:textId="77777777" w:rsidTr="005E51AD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5A4A811E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Functional unit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48350F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Typical system boundary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2828867F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Research question / decision influenced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5BC8E54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DACFE57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Example use case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0A61092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Representative finding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0A4A3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4DD67706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References</w:t>
            </w:r>
          </w:p>
        </w:tc>
      </w:tr>
      <w:tr w:rsidR="005E51AD" w:rsidRPr="005E51AD" w14:paraId="2D3A128F" w14:textId="77777777" w:rsidTr="005E51A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3CB1782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Per gram/kg API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1151B444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Cradle-to-gate (process/gate-to-gate for step comparisons)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67D469C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"Which manufacturing steps drive a drug's carbon footprint, and does green chemistry reduce it?"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F0A811A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Business / process R&amp;D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21077F4A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Manufacturing hotspot analysis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7AB003E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Omitted synthesis/auxiliary operations add 3–49% to footprint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6351381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 xml:space="preserve">Ansar et al., ACS Sustain Chem Eng, 2025 [1]; Satta et al., Environ Sci </w:t>
            </w: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Pollut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 xml:space="preserve"> Res Int, 2026 [2]</w:t>
            </w:r>
          </w:p>
        </w:tc>
      </w:tr>
      <w:tr w:rsidR="005E51AD" w:rsidRPr="005E51AD" w14:paraId="3A3B76FD" w14:textId="77777777" w:rsidTr="005E51A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7E6B17F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Per dose / route of administration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8341BCB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Cradle-to-grave (production + administration consumables + disposal)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621B1F99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"For an analgesic indicated in both forms, does IV or oral delivery carry the lower footprint?"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5981D27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Clinical (route/formulation choice)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77A34292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Perioperative IV vs oral paracetamol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D3DE056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IV paracetamol ~12× higher than oral tablet (310–628 vs 38 gCO2e per 1 g dose)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59D4227A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Davies et al., Br J Anaesth, 2024 [3]</w:t>
            </w:r>
          </w:p>
        </w:tc>
      </w:tr>
      <w:tr w:rsidR="005E51AD" w:rsidRPr="005E51AD" w14:paraId="4E6D8229" w14:textId="77777777" w:rsidTr="005E51A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650AB7E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Per patient-year / course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FCFC39C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Cradle-to-grave (full course incl. use phase + end-of-life)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50901269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"Among therapeutically comparable biologics, which is the lower-emission choice over a year of treatment?"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421F1EB6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Clinical (therapeutic selection)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EE9FA6B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Second-line RA biologics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138AD98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286–2,047 kgCO2e/year across options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66686813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Taillemite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 xml:space="preserve"> et al., Clin </w:t>
            </w: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Pharmacol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 xml:space="preserve"> Ther, 2026 [4]</w:t>
            </w:r>
          </w:p>
        </w:tc>
      </w:tr>
      <w:tr w:rsidR="005E51AD" w:rsidRPr="005E51AD" w14:paraId="3A7023E7" w14:textId="77777777" w:rsidTr="005E51A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5A272FE4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Per treatment vs no treatment (QALY/DALY)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2C65253B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Cradle-to-grave (production + use + disposal, required for net-health metric)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F521563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"Is a treatment's environmental health burden justified by the health benefit it delivers?"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4B0B3F58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Clinical + HTA / reimbursement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989FEA5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Net benefit-vs-burden analysis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DFAB418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Integrated net human-health metric (QALYs vs DALYs)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65DBC061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Debaveye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 xml:space="preserve"> et al., Environ Res, 2016 [5]</w:t>
            </w:r>
          </w:p>
        </w:tc>
      </w:tr>
      <w:tr w:rsidR="005E51AD" w:rsidRPr="005E51AD" w14:paraId="761B93DA" w14:textId="77777777" w:rsidTr="005E51AD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7B1E2683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t>Per dollar spent (EIO-LCA)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4EB86860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Economy-wide / cradle-to-grave via input-output (boundary set by economic sectors)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388FD39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"What is the climate cost of pharmaceutical waste in this procedure when process data are unavailable?"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9673F17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Healthcare business / operational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58EBFE7D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Discarded drugs in cataract surgery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708EF6E5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Unused-drug spend converted to kgCO2e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37A2A834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 xml:space="preserve">Tauber et al., JAMA </w:t>
            </w: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Ophthalmol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>, 2019 [6]</w:t>
            </w:r>
          </w:p>
        </w:tc>
      </w:tr>
      <w:tr w:rsidR="005E51AD" w:rsidRPr="005E51AD" w14:paraId="1D3D5767" w14:textId="77777777" w:rsidTr="005E51AD">
        <w:tblPrEx>
          <w:tblCellMar>
            <w:top w:w="0" w:type="dxa"/>
            <w:bottom w:w="0" w:type="dxa"/>
          </w:tblCellMar>
        </w:tblPrEx>
        <w:tc>
          <w:tcPr>
            <w:tcW w:w="1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CACA"/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B03FE8B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Per capita / region / global</w:t>
            </w:r>
          </w:p>
        </w:tc>
        <w:tc>
          <w:tcPr>
            <w:tcW w:w="18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</w:tcPr>
          <w:p w14:paraId="0348E700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Cradle-to-gate consumption + production (input-output, national/global)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ED2AFF0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"How is the sector's footprint growing, and where should mitigation policy and supply-chain targets focus?"</w:t>
            </w:r>
          </w:p>
        </w:tc>
        <w:tc>
          <w:tcPr>
            <w:tcW w:w="17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13B441DD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Policy / system planning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054F8432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Global pharmaceutical footprint over time</w:t>
            </w:r>
          </w:p>
        </w:tc>
        <w:tc>
          <w:tcPr>
            <w:tcW w:w="1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568F1B86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r w:rsidRPr="005E51AD">
              <w:rPr>
                <w:rFonts w:ascii="Calibri" w:hAnsi="Calibri" w:cs="Calibri"/>
                <w:sz w:val="20"/>
                <w:szCs w:val="20"/>
              </w:rPr>
              <w:t>+77% (1995–2019); HIC 9–10× LMIC per capita</w:t>
            </w:r>
          </w:p>
        </w:tc>
        <w:tc>
          <w:tcPr>
            <w:tcW w:w="1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8" w:type="nil"/>
              <w:left w:w="58" w:type="nil"/>
              <w:bottom w:w="58" w:type="nil"/>
              <w:right w:w="58" w:type="nil"/>
            </w:tcMar>
          </w:tcPr>
          <w:p w14:paraId="4B1FC7B5" w14:textId="77777777" w:rsidR="005E51AD" w:rsidRPr="005E51AD" w:rsidRDefault="005E51AD" w:rsidP="005E51AD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E51AD">
              <w:rPr>
                <w:rFonts w:ascii="Calibri" w:hAnsi="Calibri" w:cs="Calibri"/>
                <w:sz w:val="20"/>
                <w:szCs w:val="20"/>
              </w:rPr>
              <w:t>Hagenaars</w:t>
            </w:r>
            <w:proofErr w:type="spellEnd"/>
            <w:r w:rsidRPr="005E51AD">
              <w:rPr>
                <w:rFonts w:ascii="Calibri" w:hAnsi="Calibri" w:cs="Calibri"/>
                <w:sz w:val="20"/>
                <w:szCs w:val="20"/>
              </w:rPr>
              <w:t xml:space="preserve"> et al., Lancet Planet Health, 2025 [7]</w:t>
            </w:r>
          </w:p>
        </w:tc>
      </w:tr>
    </w:tbl>
    <w:p w14:paraId="602CA5D7" w14:textId="77777777" w:rsidR="008019FF" w:rsidRDefault="008019FF"/>
    <w:p w14:paraId="0B3E27FD" w14:textId="77777777" w:rsidR="005E51AD" w:rsidRPr="005E51AD" w:rsidRDefault="005E51AD" w:rsidP="005E51AD">
      <w:r w:rsidRPr="005E51AD">
        <w:t>1.</w:t>
      </w:r>
    </w:p>
    <w:p w14:paraId="6A90C935" w14:textId="77777777" w:rsidR="005E51AD" w:rsidRPr="005E51AD" w:rsidRDefault="005E51AD" w:rsidP="005E51AD">
      <w:hyperlink r:id="rId5" w:history="1">
        <w:r w:rsidRPr="005E51AD">
          <w:rPr>
            <w:rStyle w:val="Hyperlink"/>
          </w:rPr>
          <w:t>Closing Data Gaps for LCA of Pharmaceutical Production: Estimating Energy Usage by Upscaling Laboratory Data.</w:t>
        </w:r>
      </w:hyperlink>
    </w:p>
    <w:p w14:paraId="4F83EE37" w14:textId="77777777" w:rsidR="005E51AD" w:rsidRPr="005E51AD" w:rsidRDefault="005E51AD" w:rsidP="005E51AD">
      <w:r w:rsidRPr="005E51AD">
        <w:t>ACS Sustainable Chemistry &amp; Engineering. 2025. Ansar MA, van Zelm R, Ragas AMJ.</w:t>
      </w:r>
    </w:p>
    <w:p w14:paraId="13568668" w14:textId="77777777" w:rsidR="005E51AD" w:rsidRPr="005E51AD" w:rsidRDefault="005E51AD" w:rsidP="005E51AD">
      <w:r w:rsidRPr="005E51AD">
        <w:t>2.</w:t>
      </w:r>
    </w:p>
    <w:p w14:paraId="796EEFC3" w14:textId="77777777" w:rsidR="005E51AD" w:rsidRPr="005E51AD" w:rsidRDefault="005E51AD" w:rsidP="005E51AD">
      <w:hyperlink r:id="rId6" w:history="1">
        <w:r w:rsidRPr="005E51AD">
          <w:rPr>
            <w:rStyle w:val="Hyperlink"/>
          </w:rPr>
          <w:t>Advantages and Drawbacks of Life Cycle Assessment Application to the Pharmaceuticals: A Short Critical Literature Review.</w:t>
        </w:r>
      </w:hyperlink>
    </w:p>
    <w:p w14:paraId="2FF0FD95" w14:textId="77777777" w:rsidR="005E51AD" w:rsidRPr="005E51AD" w:rsidRDefault="005E51AD" w:rsidP="005E51AD">
      <w:r w:rsidRPr="005E51AD">
        <w:t xml:space="preserve">Environmental Science and Pollution Research International. 2026. Satta M, </w:t>
      </w:r>
      <w:proofErr w:type="spellStart"/>
      <w:r w:rsidRPr="005E51AD">
        <w:t>Passarini</w:t>
      </w:r>
      <w:proofErr w:type="spellEnd"/>
      <w:r w:rsidRPr="005E51AD">
        <w:t xml:space="preserve"> F, </w:t>
      </w:r>
      <w:proofErr w:type="spellStart"/>
      <w:r w:rsidRPr="005E51AD">
        <w:t>Cespi</w:t>
      </w:r>
      <w:proofErr w:type="spellEnd"/>
      <w:r w:rsidRPr="005E51AD">
        <w:t xml:space="preserve"> D, Ciacci </w:t>
      </w:r>
      <w:proofErr w:type="spellStart"/>
      <w:r w:rsidRPr="005E51AD">
        <w:t>L.Review</w:t>
      </w:r>
      <w:proofErr w:type="spellEnd"/>
    </w:p>
    <w:p w14:paraId="4B3D0CA1" w14:textId="77777777" w:rsidR="005E51AD" w:rsidRPr="005E51AD" w:rsidRDefault="005E51AD" w:rsidP="005E51AD">
      <w:r w:rsidRPr="005E51AD">
        <w:t>3.</w:t>
      </w:r>
    </w:p>
    <w:p w14:paraId="001A4B9E" w14:textId="77777777" w:rsidR="005E51AD" w:rsidRPr="005E51AD" w:rsidRDefault="005E51AD" w:rsidP="005E51AD">
      <w:hyperlink r:id="rId7" w:history="1">
        <w:r w:rsidRPr="005E51AD">
          <w:rPr>
            <w:rStyle w:val="Hyperlink"/>
          </w:rPr>
          <w:t xml:space="preserve">Environmental and Financial Impacts of Perioperative Paracetamol Use: A </w:t>
        </w:r>
        <w:proofErr w:type="spellStart"/>
        <w:r w:rsidRPr="005E51AD">
          <w:rPr>
            <w:rStyle w:val="Hyperlink"/>
          </w:rPr>
          <w:t>Multicentre</w:t>
        </w:r>
        <w:proofErr w:type="spellEnd"/>
        <w:r w:rsidRPr="005E51AD">
          <w:rPr>
            <w:rStyle w:val="Hyperlink"/>
          </w:rPr>
          <w:t xml:space="preserve"> International Life-Cycle Assessment.</w:t>
        </w:r>
      </w:hyperlink>
    </w:p>
    <w:p w14:paraId="0BD398AF" w14:textId="77777777" w:rsidR="005E51AD" w:rsidRPr="005E51AD" w:rsidRDefault="005E51AD" w:rsidP="005E51AD">
      <w:r w:rsidRPr="005E51AD">
        <w:t xml:space="preserve">British Journal of </w:t>
      </w:r>
      <w:proofErr w:type="spellStart"/>
      <w:r w:rsidRPr="005E51AD">
        <w:t>Anaesthesia</w:t>
      </w:r>
      <w:proofErr w:type="spellEnd"/>
      <w:r w:rsidRPr="005E51AD">
        <w:t>. 2024. Davies JF, McAlister S, Eckelman MJ, et al.</w:t>
      </w:r>
    </w:p>
    <w:p w14:paraId="4F953277" w14:textId="77777777" w:rsidR="005E51AD" w:rsidRPr="005E51AD" w:rsidRDefault="005E51AD" w:rsidP="005E51AD">
      <w:r w:rsidRPr="005E51AD">
        <w:t>4.</w:t>
      </w:r>
    </w:p>
    <w:p w14:paraId="29BDCCA0" w14:textId="77777777" w:rsidR="005E51AD" w:rsidRPr="005E51AD" w:rsidRDefault="005E51AD" w:rsidP="005E51AD">
      <w:hyperlink r:id="rId8" w:history="1">
        <w:r w:rsidRPr="005E51AD">
          <w:rPr>
            <w:rStyle w:val="Hyperlink"/>
          </w:rPr>
          <w:t>Carbon Footprint of Antibody-Based Drugs and Biologics Using Hybrid Life Cycle Assessment.</w:t>
        </w:r>
      </w:hyperlink>
    </w:p>
    <w:p w14:paraId="715FD2AA" w14:textId="77777777" w:rsidR="005E51AD" w:rsidRPr="005E51AD" w:rsidRDefault="005E51AD" w:rsidP="005E51AD">
      <w:r w:rsidRPr="005E51AD">
        <w:t>Clinical Pharmacology and Therapeutics. 2026. </w:t>
      </w:r>
      <w:proofErr w:type="spellStart"/>
      <w:r w:rsidRPr="005E51AD">
        <w:t>Taillemite</w:t>
      </w:r>
      <w:proofErr w:type="spellEnd"/>
      <w:r w:rsidRPr="005E51AD">
        <w:t xml:space="preserve"> S, Fenelon M, </w:t>
      </w:r>
      <w:proofErr w:type="spellStart"/>
      <w:r w:rsidRPr="005E51AD">
        <w:t>Scherlinger</w:t>
      </w:r>
      <w:proofErr w:type="spellEnd"/>
      <w:r w:rsidRPr="005E51AD">
        <w:t xml:space="preserve"> M, </w:t>
      </w:r>
      <w:proofErr w:type="spellStart"/>
      <w:r w:rsidRPr="005E51AD">
        <w:t>Piffoux</w:t>
      </w:r>
      <w:proofErr w:type="spellEnd"/>
      <w:r w:rsidRPr="005E51AD">
        <w:t xml:space="preserve"> M.</w:t>
      </w:r>
    </w:p>
    <w:p w14:paraId="0421BAF9" w14:textId="77777777" w:rsidR="005E51AD" w:rsidRPr="005E51AD" w:rsidRDefault="005E51AD" w:rsidP="005E51AD">
      <w:r w:rsidRPr="005E51AD">
        <w:t>5.</w:t>
      </w:r>
    </w:p>
    <w:p w14:paraId="1D0E95A3" w14:textId="77777777" w:rsidR="005E51AD" w:rsidRPr="005E51AD" w:rsidRDefault="005E51AD" w:rsidP="005E51AD">
      <w:hyperlink r:id="rId9" w:history="1">
        <w:r w:rsidRPr="005E51AD">
          <w:rPr>
            <w:rStyle w:val="Hyperlink"/>
          </w:rPr>
          <w:t>Human Health Benefits and Burdens of a Pharmaceutical Treatment: Discussion of a Conceptual Integrated Approach.</w:t>
        </w:r>
      </w:hyperlink>
    </w:p>
    <w:p w14:paraId="538F4403" w14:textId="77777777" w:rsidR="005E51AD" w:rsidRPr="005E51AD" w:rsidRDefault="005E51AD" w:rsidP="005E51AD">
      <w:r w:rsidRPr="005E51AD">
        <w:lastRenderedPageBreak/>
        <w:t>Environmental Research. 2016. </w:t>
      </w:r>
      <w:proofErr w:type="spellStart"/>
      <w:r w:rsidRPr="005E51AD">
        <w:t>Debaveye</w:t>
      </w:r>
      <w:proofErr w:type="spellEnd"/>
      <w:r w:rsidRPr="005E51AD">
        <w:t xml:space="preserve"> S, De Soete W, De Meester S, et </w:t>
      </w:r>
      <w:proofErr w:type="spellStart"/>
      <w:r w:rsidRPr="005E51AD">
        <w:t>al.Review</w:t>
      </w:r>
      <w:proofErr w:type="spellEnd"/>
    </w:p>
    <w:p w14:paraId="3A3110F7" w14:textId="77777777" w:rsidR="005E51AD" w:rsidRPr="005E51AD" w:rsidRDefault="005E51AD" w:rsidP="005E51AD">
      <w:r w:rsidRPr="005E51AD">
        <w:t>6.</w:t>
      </w:r>
    </w:p>
    <w:p w14:paraId="0764A076" w14:textId="77777777" w:rsidR="005E51AD" w:rsidRPr="005E51AD" w:rsidRDefault="005E51AD" w:rsidP="005E51AD">
      <w:hyperlink r:id="rId10" w:history="1">
        <w:r w:rsidRPr="005E51AD">
          <w:rPr>
            <w:rStyle w:val="Hyperlink"/>
          </w:rPr>
          <w:t>Quantification of the Cost and Potential Environmental Effects of Unused Pharmaceutical Products in Cataract Surgery.</w:t>
        </w:r>
      </w:hyperlink>
    </w:p>
    <w:p w14:paraId="3A6C8258" w14:textId="77777777" w:rsidR="005E51AD" w:rsidRPr="005E51AD" w:rsidRDefault="005E51AD" w:rsidP="005E51AD">
      <w:r w:rsidRPr="005E51AD">
        <w:t xml:space="preserve">JAMA Ophthalmology. 2019. Tauber J, </w:t>
      </w:r>
      <w:proofErr w:type="spellStart"/>
      <w:r w:rsidRPr="005E51AD">
        <w:t>Chinwuba</w:t>
      </w:r>
      <w:proofErr w:type="spellEnd"/>
      <w:r w:rsidRPr="005E51AD">
        <w:t xml:space="preserve"> I, Kleyn D, et </w:t>
      </w:r>
      <w:proofErr w:type="spellStart"/>
      <w:r w:rsidRPr="005E51AD">
        <w:t>al.Observational</w:t>
      </w:r>
      <w:proofErr w:type="spellEnd"/>
    </w:p>
    <w:p w14:paraId="6FD13BA3" w14:textId="77777777" w:rsidR="005E51AD" w:rsidRPr="005E51AD" w:rsidRDefault="005E51AD" w:rsidP="005E51AD">
      <w:r w:rsidRPr="005E51AD">
        <w:t>7.</w:t>
      </w:r>
    </w:p>
    <w:p w14:paraId="48E9DBF8" w14:textId="77777777" w:rsidR="005E51AD" w:rsidRPr="005E51AD" w:rsidRDefault="005E51AD" w:rsidP="005E51AD">
      <w:hyperlink r:id="rId11" w:history="1">
        <w:r w:rsidRPr="005E51AD">
          <w:rPr>
            <w:rStyle w:val="Hyperlink"/>
          </w:rPr>
          <w:t>The Greenhouse Gas Emissions of Pharmaceutical Consumption and Production: An Input-Output Analysis Over Time and Across Global Supply Chains.</w:t>
        </w:r>
      </w:hyperlink>
    </w:p>
    <w:p w14:paraId="4EA88765" w14:textId="77777777" w:rsidR="005E51AD" w:rsidRPr="005E51AD" w:rsidRDefault="005E51AD" w:rsidP="005E51AD">
      <w:r w:rsidRPr="005E51AD">
        <w:t>The Lancet. Planetary Health. 2025. </w:t>
      </w:r>
      <w:proofErr w:type="spellStart"/>
      <w:r w:rsidRPr="005E51AD">
        <w:t>Hagenaars</w:t>
      </w:r>
      <w:proofErr w:type="spellEnd"/>
      <w:r w:rsidRPr="005E51AD">
        <w:t xml:space="preserve"> RH, </w:t>
      </w:r>
      <w:proofErr w:type="spellStart"/>
      <w:r w:rsidRPr="005E51AD">
        <w:t>Heijungs</w:t>
      </w:r>
      <w:proofErr w:type="spellEnd"/>
      <w:r w:rsidRPr="005E51AD">
        <w:t xml:space="preserve"> R, de Koning A, Tukker A, Wang R.</w:t>
      </w:r>
    </w:p>
    <w:p w14:paraId="49EC5BE2" w14:textId="77777777" w:rsidR="005E51AD" w:rsidRDefault="005E51AD"/>
    <w:sectPr w:rsidR="005E51AD" w:rsidSect="005E51A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DA6E42"/>
    <w:multiLevelType w:val="multilevel"/>
    <w:tmpl w:val="6BC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37460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AD"/>
    <w:rsid w:val="0000014E"/>
    <w:rsid w:val="000225CC"/>
    <w:rsid w:val="00026CB1"/>
    <w:rsid w:val="00030371"/>
    <w:rsid w:val="00032DAF"/>
    <w:rsid w:val="00043A39"/>
    <w:rsid w:val="00043D1A"/>
    <w:rsid w:val="00051230"/>
    <w:rsid w:val="00052AA3"/>
    <w:rsid w:val="00066925"/>
    <w:rsid w:val="00076423"/>
    <w:rsid w:val="000927C8"/>
    <w:rsid w:val="000952AD"/>
    <w:rsid w:val="000B502A"/>
    <w:rsid w:val="000B7911"/>
    <w:rsid w:val="000C26A0"/>
    <w:rsid w:val="000D5810"/>
    <w:rsid w:val="000E3574"/>
    <w:rsid w:val="000F0341"/>
    <w:rsid w:val="000F1363"/>
    <w:rsid w:val="000F2B6F"/>
    <w:rsid w:val="000F5186"/>
    <w:rsid w:val="00117B38"/>
    <w:rsid w:val="00123233"/>
    <w:rsid w:val="001369C9"/>
    <w:rsid w:val="00155D10"/>
    <w:rsid w:val="001619CD"/>
    <w:rsid w:val="00161C31"/>
    <w:rsid w:val="00171DD4"/>
    <w:rsid w:val="00176058"/>
    <w:rsid w:val="0019154B"/>
    <w:rsid w:val="00192173"/>
    <w:rsid w:val="001945E2"/>
    <w:rsid w:val="00194C8D"/>
    <w:rsid w:val="001A1B60"/>
    <w:rsid w:val="001A6B63"/>
    <w:rsid w:val="001B5C3C"/>
    <w:rsid w:val="001C13A6"/>
    <w:rsid w:val="001C50BD"/>
    <w:rsid w:val="001C623E"/>
    <w:rsid w:val="001D2BCF"/>
    <w:rsid w:val="001D572D"/>
    <w:rsid w:val="001E3900"/>
    <w:rsid w:val="001F1277"/>
    <w:rsid w:val="00205FE6"/>
    <w:rsid w:val="002129C7"/>
    <w:rsid w:val="00220758"/>
    <w:rsid w:val="00235D48"/>
    <w:rsid w:val="002403F8"/>
    <w:rsid w:val="0024084F"/>
    <w:rsid w:val="002420D2"/>
    <w:rsid w:val="00257DC2"/>
    <w:rsid w:val="00257E81"/>
    <w:rsid w:val="00260B76"/>
    <w:rsid w:val="002709EE"/>
    <w:rsid w:val="00296535"/>
    <w:rsid w:val="002C0854"/>
    <w:rsid w:val="002C53BF"/>
    <w:rsid w:val="002C5A2E"/>
    <w:rsid w:val="002C69FB"/>
    <w:rsid w:val="002D1CAE"/>
    <w:rsid w:val="002F6AFA"/>
    <w:rsid w:val="00321771"/>
    <w:rsid w:val="00322D4D"/>
    <w:rsid w:val="0032376F"/>
    <w:rsid w:val="0033493F"/>
    <w:rsid w:val="003400D0"/>
    <w:rsid w:val="00343605"/>
    <w:rsid w:val="00361628"/>
    <w:rsid w:val="00366381"/>
    <w:rsid w:val="00370C1F"/>
    <w:rsid w:val="003713AF"/>
    <w:rsid w:val="00381F9F"/>
    <w:rsid w:val="003B5639"/>
    <w:rsid w:val="003B7400"/>
    <w:rsid w:val="003D05ED"/>
    <w:rsid w:val="003D47ED"/>
    <w:rsid w:val="003D77F8"/>
    <w:rsid w:val="003E4FE1"/>
    <w:rsid w:val="003E527F"/>
    <w:rsid w:val="003E75A4"/>
    <w:rsid w:val="003F114C"/>
    <w:rsid w:val="004176ED"/>
    <w:rsid w:val="00420B37"/>
    <w:rsid w:val="004227C0"/>
    <w:rsid w:val="00425AEB"/>
    <w:rsid w:val="0045313B"/>
    <w:rsid w:val="004535C0"/>
    <w:rsid w:val="00456898"/>
    <w:rsid w:val="00474DD1"/>
    <w:rsid w:val="00485EE2"/>
    <w:rsid w:val="004A40E4"/>
    <w:rsid w:val="004A621F"/>
    <w:rsid w:val="004C12D1"/>
    <w:rsid w:val="004C260E"/>
    <w:rsid w:val="004C592D"/>
    <w:rsid w:val="004C67BA"/>
    <w:rsid w:val="004C6907"/>
    <w:rsid w:val="004C6ED8"/>
    <w:rsid w:val="004D5037"/>
    <w:rsid w:val="004E72FC"/>
    <w:rsid w:val="00502605"/>
    <w:rsid w:val="00506BB8"/>
    <w:rsid w:val="00510B22"/>
    <w:rsid w:val="00515A13"/>
    <w:rsid w:val="00516874"/>
    <w:rsid w:val="00521853"/>
    <w:rsid w:val="00524BBC"/>
    <w:rsid w:val="00525637"/>
    <w:rsid w:val="00541959"/>
    <w:rsid w:val="005579D4"/>
    <w:rsid w:val="005649C0"/>
    <w:rsid w:val="005747A3"/>
    <w:rsid w:val="00577704"/>
    <w:rsid w:val="00594865"/>
    <w:rsid w:val="005A1526"/>
    <w:rsid w:val="005A2B18"/>
    <w:rsid w:val="005A7674"/>
    <w:rsid w:val="005B51CD"/>
    <w:rsid w:val="005D111E"/>
    <w:rsid w:val="005D561D"/>
    <w:rsid w:val="005E51AD"/>
    <w:rsid w:val="0060605F"/>
    <w:rsid w:val="00611D43"/>
    <w:rsid w:val="00612026"/>
    <w:rsid w:val="00614C89"/>
    <w:rsid w:val="006222B1"/>
    <w:rsid w:val="00624280"/>
    <w:rsid w:val="006328FA"/>
    <w:rsid w:val="00651360"/>
    <w:rsid w:val="00654A3E"/>
    <w:rsid w:val="006653F1"/>
    <w:rsid w:val="00666CAA"/>
    <w:rsid w:val="00676A29"/>
    <w:rsid w:val="00683D48"/>
    <w:rsid w:val="00686573"/>
    <w:rsid w:val="00697BED"/>
    <w:rsid w:val="006B4153"/>
    <w:rsid w:val="006C4B75"/>
    <w:rsid w:val="006C69EC"/>
    <w:rsid w:val="006E0236"/>
    <w:rsid w:val="00702A7E"/>
    <w:rsid w:val="0070339C"/>
    <w:rsid w:val="0072082B"/>
    <w:rsid w:val="00731AF5"/>
    <w:rsid w:val="00732AFB"/>
    <w:rsid w:val="007338C7"/>
    <w:rsid w:val="00766475"/>
    <w:rsid w:val="00783535"/>
    <w:rsid w:val="00785734"/>
    <w:rsid w:val="00791975"/>
    <w:rsid w:val="00795AB7"/>
    <w:rsid w:val="007978EE"/>
    <w:rsid w:val="00797EC7"/>
    <w:rsid w:val="007A535D"/>
    <w:rsid w:val="007B1ABB"/>
    <w:rsid w:val="007D09A1"/>
    <w:rsid w:val="007D1D11"/>
    <w:rsid w:val="007D6B8A"/>
    <w:rsid w:val="007E6D8B"/>
    <w:rsid w:val="007F3079"/>
    <w:rsid w:val="008019FF"/>
    <w:rsid w:val="00801F1B"/>
    <w:rsid w:val="0080477A"/>
    <w:rsid w:val="0081324F"/>
    <w:rsid w:val="00826996"/>
    <w:rsid w:val="00851B99"/>
    <w:rsid w:val="00853D53"/>
    <w:rsid w:val="00873AFE"/>
    <w:rsid w:val="00886AB0"/>
    <w:rsid w:val="00886B15"/>
    <w:rsid w:val="00894427"/>
    <w:rsid w:val="00897AFF"/>
    <w:rsid w:val="008A71EA"/>
    <w:rsid w:val="008B7D99"/>
    <w:rsid w:val="008C0B93"/>
    <w:rsid w:val="008E2015"/>
    <w:rsid w:val="008E4EE4"/>
    <w:rsid w:val="008E7CAA"/>
    <w:rsid w:val="00902232"/>
    <w:rsid w:val="009029CC"/>
    <w:rsid w:val="009035E3"/>
    <w:rsid w:val="00914AC2"/>
    <w:rsid w:val="00916A1D"/>
    <w:rsid w:val="00917B8F"/>
    <w:rsid w:val="00922412"/>
    <w:rsid w:val="00931228"/>
    <w:rsid w:val="009412F3"/>
    <w:rsid w:val="009425BC"/>
    <w:rsid w:val="00975419"/>
    <w:rsid w:val="00983A98"/>
    <w:rsid w:val="009878CC"/>
    <w:rsid w:val="009937DE"/>
    <w:rsid w:val="0099640C"/>
    <w:rsid w:val="009A4CE6"/>
    <w:rsid w:val="009C4F18"/>
    <w:rsid w:val="009C726B"/>
    <w:rsid w:val="009D0244"/>
    <w:rsid w:val="009D2ADE"/>
    <w:rsid w:val="009D34BC"/>
    <w:rsid w:val="009D52B4"/>
    <w:rsid w:val="009F365C"/>
    <w:rsid w:val="00A239AE"/>
    <w:rsid w:val="00A27A20"/>
    <w:rsid w:val="00A42C19"/>
    <w:rsid w:val="00A57008"/>
    <w:rsid w:val="00A65485"/>
    <w:rsid w:val="00A724D8"/>
    <w:rsid w:val="00A92F7C"/>
    <w:rsid w:val="00AB1361"/>
    <w:rsid w:val="00AB1A33"/>
    <w:rsid w:val="00AC1B89"/>
    <w:rsid w:val="00AC55F1"/>
    <w:rsid w:val="00AC7C66"/>
    <w:rsid w:val="00AC7E77"/>
    <w:rsid w:val="00AD2651"/>
    <w:rsid w:val="00AD6F95"/>
    <w:rsid w:val="00AF3FB9"/>
    <w:rsid w:val="00B107FB"/>
    <w:rsid w:val="00B11031"/>
    <w:rsid w:val="00B13BA0"/>
    <w:rsid w:val="00B13CF4"/>
    <w:rsid w:val="00B201F6"/>
    <w:rsid w:val="00B20BAF"/>
    <w:rsid w:val="00B3487E"/>
    <w:rsid w:val="00B42AFF"/>
    <w:rsid w:val="00B46A48"/>
    <w:rsid w:val="00B5772C"/>
    <w:rsid w:val="00B6199A"/>
    <w:rsid w:val="00B641FF"/>
    <w:rsid w:val="00B64328"/>
    <w:rsid w:val="00B744C7"/>
    <w:rsid w:val="00B77531"/>
    <w:rsid w:val="00B83408"/>
    <w:rsid w:val="00B922BA"/>
    <w:rsid w:val="00B975CF"/>
    <w:rsid w:val="00BA0B29"/>
    <w:rsid w:val="00BA6CE6"/>
    <w:rsid w:val="00BB00AA"/>
    <w:rsid w:val="00BB1EA0"/>
    <w:rsid w:val="00BB727C"/>
    <w:rsid w:val="00BB7543"/>
    <w:rsid w:val="00BE3123"/>
    <w:rsid w:val="00BE58C0"/>
    <w:rsid w:val="00BE77C7"/>
    <w:rsid w:val="00BF1E02"/>
    <w:rsid w:val="00BF5C1B"/>
    <w:rsid w:val="00BF6F64"/>
    <w:rsid w:val="00C12053"/>
    <w:rsid w:val="00C21A21"/>
    <w:rsid w:val="00C246A5"/>
    <w:rsid w:val="00C33BE5"/>
    <w:rsid w:val="00C3473F"/>
    <w:rsid w:val="00C43FF4"/>
    <w:rsid w:val="00C604CF"/>
    <w:rsid w:val="00C67193"/>
    <w:rsid w:val="00C67672"/>
    <w:rsid w:val="00C7778F"/>
    <w:rsid w:val="00C8043C"/>
    <w:rsid w:val="00C81837"/>
    <w:rsid w:val="00C83ECD"/>
    <w:rsid w:val="00CA0B4C"/>
    <w:rsid w:val="00CA520F"/>
    <w:rsid w:val="00CB6D99"/>
    <w:rsid w:val="00CC0AF1"/>
    <w:rsid w:val="00CE75DF"/>
    <w:rsid w:val="00CF1162"/>
    <w:rsid w:val="00CF262B"/>
    <w:rsid w:val="00CF33C1"/>
    <w:rsid w:val="00D0697F"/>
    <w:rsid w:val="00D16D5C"/>
    <w:rsid w:val="00D25CAD"/>
    <w:rsid w:val="00D25FC3"/>
    <w:rsid w:val="00D27CB5"/>
    <w:rsid w:val="00D33DF9"/>
    <w:rsid w:val="00D36490"/>
    <w:rsid w:val="00D36D06"/>
    <w:rsid w:val="00D47E34"/>
    <w:rsid w:val="00D538FF"/>
    <w:rsid w:val="00D568DA"/>
    <w:rsid w:val="00D643FA"/>
    <w:rsid w:val="00D72074"/>
    <w:rsid w:val="00D74EB4"/>
    <w:rsid w:val="00D93E88"/>
    <w:rsid w:val="00D97583"/>
    <w:rsid w:val="00DA5D5D"/>
    <w:rsid w:val="00DB5E21"/>
    <w:rsid w:val="00DC0632"/>
    <w:rsid w:val="00DC43D8"/>
    <w:rsid w:val="00DC448B"/>
    <w:rsid w:val="00DD16FF"/>
    <w:rsid w:val="00DE055E"/>
    <w:rsid w:val="00DE71F5"/>
    <w:rsid w:val="00DF49FD"/>
    <w:rsid w:val="00DF5F21"/>
    <w:rsid w:val="00DF7DC8"/>
    <w:rsid w:val="00E00229"/>
    <w:rsid w:val="00E037D6"/>
    <w:rsid w:val="00E126B4"/>
    <w:rsid w:val="00E270F7"/>
    <w:rsid w:val="00E36AE3"/>
    <w:rsid w:val="00E3700A"/>
    <w:rsid w:val="00E41AFF"/>
    <w:rsid w:val="00E4327E"/>
    <w:rsid w:val="00E52187"/>
    <w:rsid w:val="00E57E21"/>
    <w:rsid w:val="00E73F88"/>
    <w:rsid w:val="00E74B15"/>
    <w:rsid w:val="00E93146"/>
    <w:rsid w:val="00E93320"/>
    <w:rsid w:val="00EB05A7"/>
    <w:rsid w:val="00EB5053"/>
    <w:rsid w:val="00EE72DB"/>
    <w:rsid w:val="00EF192B"/>
    <w:rsid w:val="00EF6C44"/>
    <w:rsid w:val="00EF7D82"/>
    <w:rsid w:val="00F132F1"/>
    <w:rsid w:val="00F25BF4"/>
    <w:rsid w:val="00F36559"/>
    <w:rsid w:val="00F53117"/>
    <w:rsid w:val="00F70244"/>
    <w:rsid w:val="00F72199"/>
    <w:rsid w:val="00F90D92"/>
    <w:rsid w:val="00FB6876"/>
    <w:rsid w:val="00FD3DC0"/>
    <w:rsid w:val="00F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C3B9D"/>
  <w15:chartTrackingRefBased/>
  <w15:docId w15:val="{5447821E-2A76-9646-AC12-7AD1E47D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209233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829675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8898347" TargetMode="External"/><Relationship Id="rId11" Type="http://schemas.openxmlformats.org/officeDocument/2006/relationships/hyperlink" Target="https://pubmed.ncbi.nlm.nih.gov/40120626" TargetMode="External"/><Relationship Id="rId5" Type="http://schemas.openxmlformats.org/officeDocument/2006/relationships/hyperlink" Target="https://pubmed.ncbi.nlm.nih.gov/41346401" TargetMode="External"/><Relationship Id="rId10" Type="http://schemas.openxmlformats.org/officeDocument/2006/relationships/hyperlink" Target="https://jamanetwork.com/journals/jamaophthalmology/fullarticle/10.1001/jamaophthalmol.2019.2901?utm_source=openevidence&amp;utm_medium=referr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26544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 Setoguchi</dc:creator>
  <cp:keywords/>
  <dc:description/>
  <cp:lastModifiedBy>Soko Setoguchi</cp:lastModifiedBy>
  <cp:revision>1</cp:revision>
  <dcterms:created xsi:type="dcterms:W3CDTF">2026-08-25T23:50:00Z</dcterms:created>
  <dcterms:modified xsi:type="dcterms:W3CDTF">2026-08-25T23:55:00Z</dcterms:modified>
</cp:coreProperties>
</file>