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3354"/>
        <w:gridCol w:w="2897"/>
        <w:gridCol w:w="4703"/>
      </w:tblGrid>
      <w:tr w:rsidR="00F03F7A" w:rsidRPr="00F03F7A" w14:paraId="77DEA75F" w14:textId="77777777">
        <w:trPr>
          <w:trHeight w:val="165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9585C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b/>
                <w:bCs/>
                <w:sz w:val="21"/>
                <w:szCs w:val="21"/>
              </w:rPr>
              <w:t>Attribute</w:t>
            </w:r>
          </w:p>
        </w:tc>
        <w:tc>
          <w:tcPr>
            <w:tcW w:w="5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6FC2F9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b/>
                <w:bCs/>
                <w:sz w:val="21"/>
                <w:szCs w:val="21"/>
              </w:rPr>
              <w:t>Bottom-up (process-based)</w:t>
            </w:r>
          </w:p>
        </w:tc>
        <w:tc>
          <w:tcPr>
            <w:tcW w:w="5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7A678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b/>
                <w:bCs/>
                <w:sz w:val="21"/>
                <w:szCs w:val="21"/>
              </w:rPr>
              <w:t>Top-down (input-output/EEIO)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DA2589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b/>
                <w:bCs/>
                <w:sz w:val="21"/>
                <w:szCs w:val="21"/>
              </w:rPr>
              <w:t>Hybrid</w:t>
            </w:r>
          </w:p>
        </w:tc>
      </w:tr>
      <w:tr w:rsidR="00F03F7A" w:rsidRPr="00F03F7A" w14:paraId="1027029E" w14:textId="77777777">
        <w:trPr>
          <w:trHeight w:val="180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7E6F7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b/>
                <w:bCs/>
                <w:sz w:val="21"/>
                <w:szCs w:val="21"/>
              </w:rPr>
              <w:t>Starting point</w:t>
            </w:r>
          </w:p>
        </w:tc>
        <w:tc>
          <w:tcPr>
            <w:tcW w:w="5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F46A86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Individual process steps</w:t>
            </w:r>
          </w:p>
        </w:tc>
        <w:tc>
          <w:tcPr>
            <w:tcW w:w="5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75386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Whole economy, by sector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3C0209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Both: process foreground + IO background</w:t>
            </w:r>
          </w:p>
        </w:tc>
      </w:tr>
      <w:tr w:rsidR="00F03F7A" w:rsidRPr="00F03F7A" w14:paraId="57330A13" w14:textId="77777777">
        <w:trPr>
          <w:trHeight w:val="165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C17BA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b/>
                <w:bCs/>
                <w:sz w:val="21"/>
                <w:szCs w:val="21"/>
              </w:rPr>
              <w:t>Core data unit</w:t>
            </w:r>
          </w:p>
        </w:tc>
        <w:tc>
          <w:tcPr>
            <w:tcW w:w="5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71A7A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Physical flows (kg, kWh)</w:t>
            </w:r>
          </w:p>
        </w:tc>
        <w:tc>
          <w:tcPr>
            <w:tcW w:w="5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FA758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Money ($ spent per sector)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39976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Physical flows where available; $ for the rest</w:t>
            </w:r>
          </w:p>
        </w:tc>
      </w:tr>
      <w:tr w:rsidR="00F03F7A" w:rsidRPr="00F03F7A" w14:paraId="24FD9F8B" w14:textId="77777777">
        <w:trPr>
          <w:trHeight w:val="165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667C6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b/>
                <w:bCs/>
                <w:sz w:val="21"/>
                <w:szCs w:val="21"/>
              </w:rPr>
              <w:t>How waste enters</w:t>
            </w:r>
          </w:p>
        </w:tc>
        <w:tc>
          <w:tcPr>
            <w:tcW w:w="5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97EDD8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Measured directly as physical output of specific steps</w:t>
            </w:r>
          </w:p>
        </w:tc>
        <w:tc>
          <w:tcPr>
            <w:tcW w:w="5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8C6C47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Embedded in sector emissions-per-dollar factor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22E6D1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Measured for foreground; embedded for truncated tail</w:t>
            </w:r>
          </w:p>
        </w:tc>
      </w:tr>
      <w:tr w:rsidR="00F03F7A" w:rsidRPr="00F03F7A" w14:paraId="7C156633" w14:textId="77777777">
        <w:trPr>
          <w:trHeight w:val="165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E5324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b/>
                <w:bCs/>
                <w:sz w:val="21"/>
                <w:szCs w:val="21"/>
              </w:rPr>
              <w:t>Role of economic data</w:t>
            </w:r>
          </w:p>
        </w:tc>
        <w:tc>
          <w:tcPr>
            <w:tcW w:w="5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85608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None</w:t>
            </w:r>
          </w:p>
        </w:tc>
        <w:tc>
          <w:tcPr>
            <w:tcW w:w="5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795577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Primary driver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06090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Fills gaps beyond the measured processes</w:t>
            </w:r>
          </w:p>
        </w:tc>
      </w:tr>
      <w:tr w:rsidR="00F03F7A" w:rsidRPr="00F03F7A" w14:paraId="33822848" w14:textId="77777777">
        <w:trPr>
          <w:trHeight w:val="165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EB653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b/>
                <w:bCs/>
                <w:sz w:val="21"/>
                <w:szCs w:val="21"/>
              </w:rPr>
              <w:t>Product-level resolution</w:t>
            </w:r>
          </w:p>
        </w:tc>
        <w:tc>
          <w:tcPr>
            <w:tcW w:w="5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57B79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High — differentiates specific APIs</w:t>
            </w:r>
          </w:p>
        </w:tc>
        <w:tc>
          <w:tcPr>
            <w:tcW w:w="5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7EAB52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Low — one sector average for all drugs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F44E0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High for foreground, complete boundary overall</w:t>
            </w:r>
          </w:p>
        </w:tc>
      </w:tr>
      <w:tr w:rsidR="00F03F7A" w:rsidRPr="00F03F7A" w14:paraId="0276DE9B" w14:textId="77777777">
        <w:trPr>
          <w:trHeight w:val="165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502302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b/>
                <w:bCs/>
                <w:sz w:val="21"/>
                <w:szCs w:val="21"/>
              </w:rPr>
              <w:t>Main weakness</w:t>
            </w:r>
          </w:p>
        </w:tc>
        <w:tc>
          <w:tcPr>
            <w:tcW w:w="5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5BB6D4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Truncation of upstream supply chain; labor-intensive</w:t>
            </w:r>
          </w:p>
        </w:tc>
        <w:tc>
          <w:tcPr>
            <w:tcW w:w="5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81B835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Aggregation; cannot distinguish individual drugs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4B73F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More complex; risk of double-counting</w:t>
            </w:r>
          </w:p>
        </w:tc>
      </w:tr>
      <w:tr w:rsidR="00F03F7A" w:rsidRPr="00F03F7A" w14:paraId="20015B93" w14:textId="77777777">
        <w:trPr>
          <w:trHeight w:val="165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6974F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b/>
                <w:bCs/>
                <w:sz w:val="21"/>
                <w:szCs w:val="21"/>
              </w:rPr>
              <w:t>When to use</w:t>
            </w:r>
          </w:p>
        </w:tc>
        <w:tc>
          <w:tcPr>
            <w:tcW w:w="5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7719E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Comparing specific products/interventions when process data exist</w:t>
            </w:r>
          </w:p>
        </w:tc>
        <w:tc>
          <w:tcPr>
            <w:tcW w:w="5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3E828E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Process data missing, screening estimate, or sector/system-wide scope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3585B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Need both product detail and complete boundary (e.g., regulatory/manufacturer footprint)</w:t>
            </w:r>
          </w:p>
        </w:tc>
      </w:tr>
      <w:tr w:rsidR="00F03F7A" w:rsidRPr="00F03F7A" w14:paraId="42242973" w14:textId="77777777">
        <w:trPr>
          <w:trHeight w:val="165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22D8F0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b/>
                <w:bCs/>
                <w:sz w:val="21"/>
                <w:szCs w:val="21"/>
              </w:rPr>
              <w:t>Pharma/healthcare example</w:t>
            </w:r>
          </w:p>
        </w:tc>
        <w:tc>
          <w:tcPr>
            <w:tcW w:w="5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E9546B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 xml:space="preserve">Smale et al., </w:t>
            </w:r>
            <w:proofErr w:type="spellStart"/>
            <w:r w:rsidRPr="00F03F7A">
              <w:rPr>
                <w:sz w:val="21"/>
                <w:szCs w:val="21"/>
              </w:rPr>
              <w:t>redispensing</w:t>
            </w:r>
            <w:proofErr w:type="spellEnd"/>
            <w:r w:rsidRPr="00F03F7A">
              <w:rPr>
                <w:sz w:val="21"/>
                <w:szCs w:val="21"/>
              </w:rPr>
              <w:t xml:space="preserve"> oral anticancer drugs (JAMA </w:t>
            </w:r>
            <w:proofErr w:type="spellStart"/>
            <w:r w:rsidRPr="00F03F7A">
              <w:rPr>
                <w:sz w:val="21"/>
                <w:szCs w:val="21"/>
              </w:rPr>
              <w:t>Netw</w:t>
            </w:r>
            <w:proofErr w:type="spellEnd"/>
            <w:r w:rsidRPr="00F03F7A">
              <w:rPr>
                <w:sz w:val="21"/>
                <w:szCs w:val="21"/>
              </w:rPr>
              <w:t xml:space="preserve"> Open, 2024) [3]</w:t>
            </w:r>
          </w:p>
        </w:tc>
        <w:tc>
          <w:tcPr>
            <w:tcW w:w="5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584FA1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 xml:space="preserve">Tauber et al., unused drugs in cataract surgery (JAMA </w:t>
            </w:r>
            <w:proofErr w:type="spellStart"/>
            <w:r w:rsidRPr="00F03F7A">
              <w:rPr>
                <w:sz w:val="21"/>
                <w:szCs w:val="21"/>
              </w:rPr>
              <w:t>Ophthalmol</w:t>
            </w:r>
            <w:proofErr w:type="spellEnd"/>
            <w:r w:rsidRPr="00F03F7A">
              <w:rPr>
                <w:sz w:val="21"/>
                <w:szCs w:val="21"/>
              </w:rPr>
              <w:t>, 2019) [3]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3CD9F" w14:textId="77777777" w:rsidR="00F03F7A" w:rsidRPr="00F03F7A" w:rsidRDefault="00F03F7A" w:rsidP="00F03F7A">
            <w:pPr>
              <w:rPr>
                <w:sz w:val="21"/>
                <w:szCs w:val="21"/>
              </w:rPr>
            </w:pPr>
            <w:r w:rsidRPr="00F03F7A">
              <w:rPr>
                <w:sz w:val="21"/>
                <w:szCs w:val="21"/>
              </w:rPr>
              <w:t>No fully worked pharma case identified; methods per Crawford 2008 [4], Lenzen &amp; Crawford 2009 [1], Perkins &amp; Suh 2019 [2]</w:t>
            </w:r>
          </w:p>
        </w:tc>
      </w:tr>
    </w:tbl>
    <w:p w14:paraId="402D39B6" w14:textId="77777777" w:rsidR="008019FF" w:rsidRDefault="008019FF"/>
    <w:p w14:paraId="5CA3276C" w14:textId="77777777" w:rsidR="00F03F7A" w:rsidRDefault="00F03F7A"/>
    <w:p w14:paraId="1057663A" w14:textId="77777777" w:rsidR="00F03F7A" w:rsidRDefault="00F03F7A"/>
    <w:p w14:paraId="4C6F66CA" w14:textId="77777777" w:rsidR="00F03F7A" w:rsidRPr="00F03F7A" w:rsidRDefault="00F03F7A" w:rsidP="00F03F7A">
      <w:r w:rsidRPr="00F03F7A">
        <w:lastRenderedPageBreak/>
        <w:t>1.</w:t>
      </w:r>
    </w:p>
    <w:p w14:paraId="68C7311E" w14:textId="77777777" w:rsidR="00F03F7A" w:rsidRPr="00F03F7A" w:rsidRDefault="00F03F7A" w:rsidP="00F03F7A">
      <w:hyperlink r:id="rId4" w:history="1">
        <w:r w:rsidRPr="00F03F7A">
          <w:rPr>
            <w:rStyle w:val="Hyperlink"/>
          </w:rPr>
          <w:t>The Greenhouse Gas Emissions of Pharmaceutical Consumption and Production: An Input-Output Analysis Over Time and Across Global Supply Chains.</w:t>
        </w:r>
      </w:hyperlink>
    </w:p>
    <w:p w14:paraId="3CB42EA8" w14:textId="77777777" w:rsidR="00F03F7A" w:rsidRPr="00F03F7A" w:rsidRDefault="00F03F7A" w:rsidP="00F03F7A">
      <w:r w:rsidRPr="00F03F7A">
        <w:t>The Lancet. Planetary Health. 2025. </w:t>
      </w:r>
      <w:proofErr w:type="spellStart"/>
      <w:r w:rsidRPr="00F03F7A">
        <w:t>Hagenaars</w:t>
      </w:r>
      <w:proofErr w:type="spellEnd"/>
      <w:r w:rsidRPr="00F03F7A">
        <w:t xml:space="preserve"> RH, </w:t>
      </w:r>
      <w:proofErr w:type="spellStart"/>
      <w:r w:rsidRPr="00F03F7A">
        <w:t>Heijungs</w:t>
      </w:r>
      <w:proofErr w:type="spellEnd"/>
      <w:r w:rsidRPr="00F03F7A">
        <w:t xml:space="preserve"> R, de Koning A, Tukker A, Wang R.</w:t>
      </w:r>
    </w:p>
    <w:p w14:paraId="676EA5F1" w14:textId="77777777" w:rsidR="00F03F7A" w:rsidRPr="00F03F7A" w:rsidRDefault="00F03F7A" w:rsidP="00F03F7A">
      <w:r w:rsidRPr="00F03F7A">
        <w:t>2.</w:t>
      </w:r>
    </w:p>
    <w:p w14:paraId="1AE0F043" w14:textId="77777777" w:rsidR="00F03F7A" w:rsidRPr="00F03F7A" w:rsidRDefault="00F03F7A" w:rsidP="00F03F7A">
      <w:hyperlink r:id="rId5" w:history="1">
        <w:r w:rsidRPr="00F03F7A">
          <w:rPr>
            <w:rStyle w:val="Hyperlink"/>
          </w:rPr>
          <w:t>Evaluation of Process- And Input-Output-Based Life Cycle Inventory Data With Regard to Truncation and Aggregation Issues.</w:t>
        </w:r>
      </w:hyperlink>
    </w:p>
    <w:p w14:paraId="426DE86C" w14:textId="77777777" w:rsidR="00F03F7A" w:rsidRPr="00F03F7A" w:rsidRDefault="00F03F7A" w:rsidP="00F03F7A">
      <w:r w:rsidRPr="00F03F7A">
        <w:t xml:space="preserve">Environmental Science &amp; Technology. 2011. Majeau-Bettez G, </w:t>
      </w:r>
      <w:proofErr w:type="spellStart"/>
      <w:r w:rsidRPr="00F03F7A">
        <w:t>Strømman</w:t>
      </w:r>
      <w:proofErr w:type="spellEnd"/>
      <w:r w:rsidRPr="00F03F7A">
        <w:t xml:space="preserve"> AH, </w:t>
      </w:r>
      <w:proofErr w:type="spellStart"/>
      <w:r w:rsidRPr="00F03F7A">
        <w:t>Hertwich</w:t>
      </w:r>
      <w:proofErr w:type="spellEnd"/>
      <w:r w:rsidRPr="00F03F7A">
        <w:t xml:space="preserve"> EG.</w:t>
      </w:r>
    </w:p>
    <w:p w14:paraId="0D7A45EA" w14:textId="77777777" w:rsidR="00F03F7A" w:rsidRPr="00F03F7A" w:rsidRDefault="00F03F7A" w:rsidP="00F03F7A">
      <w:r w:rsidRPr="00F03F7A">
        <w:t>3.</w:t>
      </w:r>
    </w:p>
    <w:p w14:paraId="26D8CAD8" w14:textId="77777777" w:rsidR="00F03F7A" w:rsidRPr="00F03F7A" w:rsidRDefault="00F03F7A" w:rsidP="00F03F7A">
      <w:hyperlink r:id="rId6" w:history="1">
        <w:r w:rsidRPr="00F03F7A">
          <w:rPr>
            <w:rStyle w:val="Hyperlink"/>
          </w:rPr>
          <w:t xml:space="preserve">Environmental Outcomes of Reducing Medication Waste by </w:t>
        </w:r>
        <w:proofErr w:type="spellStart"/>
        <w:r w:rsidRPr="00F03F7A">
          <w:rPr>
            <w:rStyle w:val="Hyperlink"/>
          </w:rPr>
          <w:t>Redispensing</w:t>
        </w:r>
        <w:proofErr w:type="spellEnd"/>
        <w:r w:rsidRPr="00F03F7A">
          <w:rPr>
            <w:rStyle w:val="Hyperlink"/>
          </w:rPr>
          <w:t xml:space="preserve"> Unused Oral Anticancer Drugs.</w:t>
        </w:r>
      </w:hyperlink>
    </w:p>
    <w:p w14:paraId="65EA9A15" w14:textId="77777777" w:rsidR="00F03F7A" w:rsidRPr="00F03F7A" w:rsidRDefault="00F03F7A" w:rsidP="00F03F7A">
      <w:r w:rsidRPr="00F03F7A">
        <w:t xml:space="preserve">JAMA Network Open. 2024. Smale EM, </w:t>
      </w:r>
      <w:proofErr w:type="spellStart"/>
      <w:r w:rsidRPr="00F03F7A">
        <w:t>Ottenbros</w:t>
      </w:r>
      <w:proofErr w:type="spellEnd"/>
      <w:r w:rsidRPr="00F03F7A">
        <w:t xml:space="preserve"> AB, van den </w:t>
      </w:r>
      <w:proofErr w:type="spellStart"/>
      <w:r w:rsidRPr="00F03F7A">
        <w:t>Bemt</w:t>
      </w:r>
      <w:proofErr w:type="spellEnd"/>
      <w:r w:rsidRPr="00F03F7A">
        <w:t xml:space="preserve"> BJF, et </w:t>
      </w:r>
      <w:proofErr w:type="spellStart"/>
      <w:r w:rsidRPr="00F03F7A">
        <w:t>al.Modeling</w:t>
      </w:r>
      <w:proofErr w:type="spellEnd"/>
    </w:p>
    <w:p w14:paraId="7425FAC2" w14:textId="77777777" w:rsidR="00F03F7A" w:rsidRPr="00F03F7A" w:rsidRDefault="00F03F7A" w:rsidP="00F03F7A">
      <w:r w:rsidRPr="00F03F7A">
        <w:t>4.</w:t>
      </w:r>
    </w:p>
    <w:p w14:paraId="7011CA3A" w14:textId="77777777" w:rsidR="00F03F7A" w:rsidRPr="00F03F7A" w:rsidRDefault="00F03F7A" w:rsidP="00F03F7A">
      <w:hyperlink r:id="rId7" w:history="1">
        <w:r w:rsidRPr="00F03F7A">
          <w:rPr>
            <w:rStyle w:val="Hyperlink"/>
          </w:rPr>
          <w:t>Quantification of the Cost and Potential Environmental Effects of Unused Pharmaceutical Products in Cataract Surgery.</w:t>
        </w:r>
      </w:hyperlink>
    </w:p>
    <w:p w14:paraId="75880688" w14:textId="77777777" w:rsidR="00F03F7A" w:rsidRPr="00F03F7A" w:rsidRDefault="00F03F7A" w:rsidP="00F03F7A">
      <w:r w:rsidRPr="00F03F7A">
        <w:t xml:space="preserve">JAMA Ophthalmology. 2019. Tauber J, </w:t>
      </w:r>
      <w:proofErr w:type="spellStart"/>
      <w:r w:rsidRPr="00F03F7A">
        <w:t>Chinwuba</w:t>
      </w:r>
      <w:proofErr w:type="spellEnd"/>
      <w:r w:rsidRPr="00F03F7A">
        <w:t xml:space="preserve"> I, Kleyn D, et </w:t>
      </w:r>
      <w:proofErr w:type="spellStart"/>
      <w:r w:rsidRPr="00F03F7A">
        <w:t>al.Observational</w:t>
      </w:r>
      <w:proofErr w:type="spellEnd"/>
    </w:p>
    <w:p w14:paraId="7E6F8C29" w14:textId="77777777" w:rsidR="00F03F7A" w:rsidRPr="00F03F7A" w:rsidRDefault="00F03F7A" w:rsidP="00F03F7A">
      <w:r w:rsidRPr="00F03F7A">
        <w:t>5.</w:t>
      </w:r>
    </w:p>
    <w:p w14:paraId="1860EB5F" w14:textId="77777777" w:rsidR="00F03F7A" w:rsidRPr="00F03F7A" w:rsidRDefault="00F03F7A" w:rsidP="00F03F7A">
      <w:hyperlink r:id="rId8" w:history="1">
        <w:r w:rsidRPr="00F03F7A">
          <w:rPr>
            <w:rStyle w:val="Hyperlink"/>
          </w:rPr>
          <w:t>Validation of a Hybrid Life-Cycle Inventory Analysis Method.</w:t>
        </w:r>
      </w:hyperlink>
    </w:p>
    <w:p w14:paraId="59325355" w14:textId="77777777" w:rsidR="00F03F7A" w:rsidRPr="00F03F7A" w:rsidRDefault="00F03F7A" w:rsidP="00F03F7A">
      <w:r w:rsidRPr="00F03F7A">
        <w:t xml:space="preserve">Journal of Environmental Management. 2008. Crawford </w:t>
      </w:r>
      <w:proofErr w:type="spellStart"/>
      <w:r w:rsidRPr="00F03F7A">
        <w:t>RH.Observational</w:t>
      </w:r>
      <w:proofErr w:type="spellEnd"/>
    </w:p>
    <w:p w14:paraId="7AB3CA14" w14:textId="77777777" w:rsidR="00F03F7A" w:rsidRPr="00F03F7A" w:rsidRDefault="00F03F7A" w:rsidP="00F03F7A">
      <w:r w:rsidRPr="00F03F7A">
        <w:t>6.</w:t>
      </w:r>
    </w:p>
    <w:p w14:paraId="5E5C582D" w14:textId="77777777" w:rsidR="00F03F7A" w:rsidRPr="00F03F7A" w:rsidRDefault="00F03F7A" w:rsidP="00F03F7A">
      <w:hyperlink r:id="rId9" w:history="1">
        <w:r w:rsidRPr="00F03F7A">
          <w:rPr>
            <w:rStyle w:val="Hyperlink"/>
          </w:rPr>
          <w:t>The Path Exchange Method for Hybrid LCA.</w:t>
        </w:r>
      </w:hyperlink>
    </w:p>
    <w:p w14:paraId="17AF9A61" w14:textId="77777777" w:rsidR="00F03F7A" w:rsidRPr="00F03F7A" w:rsidRDefault="00F03F7A" w:rsidP="00F03F7A">
      <w:r w:rsidRPr="00F03F7A">
        <w:t>Environmental Science &amp; Technology. 2009. Lenzen M, Crawford R.</w:t>
      </w:r>
    </w:p>
    <w:p w14:paraId="46C24185" w14:textId="77777777" w:rsidR="00F03F7A" w:rsidRPr="00F03F7A" w:rsidRDefault="00F03F7A" w:rsidP="00F03F7A">
      <w:r w:rsidRPr="00F03F7A">
        <w:lastRenderedPageBreak/>
        <w:t>7.</w:t>
      </w:r>
    </w:p>
    <w:p w14:paraId="255873B2" w14:textId="77777777" w:rsidR="00F03F7A" w:rsidRPr="00F03F7A" w:rsidRDefault="00F03F7A" w:rsidP="00F03F7A">
      <w:hyperlink r:id="rId10" w:history="1">
        <w:r w:rsidRPr="00F03F7A">
          <w:rPr>
            <w:rStyle w:val="Hyperlink"/>
          </w:rPr>
          <w:t>Uncertainty Implications of Hybrid Approach in LCA: Precision Versus Accuracy.</w:t>
        </w:r>
      </w:hyperlink>
    </w:p>
    <w:p w14:paraId="4D5B281D" w14:textId="77777777" w:rsidR="00F03F7A" w:rsidRPr="00F03F7A" w:rsidRDefault="00F03F7A" w:rsidP="00F03F7A">
      <w:r w:rsidRPr="00F03F7A">
        <w:t>Environmental Science &amp; Technology. 2019. Perkins J, Suh S.</w:t>
      </w:r>
    </w:p>
    <w:p w14:paraId="79CDB3FE" w14:textId="77777777" w:rsidR="00F03F7A" w:rsidRDefault="00F03F7A"/>
    <w:sectPr w:rsidR="00F03F7A" w:rsidSect="00F03F7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7A"/>
    <w:rsid w:val="0000014E"/>
    <w:rsid w:val="000225CC"/>
    <w:rsid w:val="00026CB1"/>
    <w:rsid w:val="00030371"/>
    <w:rsid w:val="00032DAF"/>
    <w:rsid w:val="00043A39"/>
    <w:rsid w:val="00043D1A"/>
    <w:rsid w:val="00051230"/>
    <w:rsid w:val="00052AA3"/>
    <w:rsid w:val="00066925"/>
    <w:rsid w:val="00076423"/>
    <w:rsid w:val="000927C8"/>
    <w:rsid w:val="000952AD"/>
    <w:rsid w:val="000B502A"/>
    <w:rsid w:val="000B7911"/>
    <w:rsid w:val="000C26A0"/>
    <w:rsid w:val="000D5810"/>
    <w:rsid w:val="000E3574"/>
    <w:rsid w:val="000F0341"/>
    <w:rsid w:val="000F1363"/>
    <w:rsid w:val="000F2B6F"/>
    <w:rsid w:val="000F5186"/>
    <w:rsid w:val="00117B38"/>
    <w:rsid w:val="00123233"/>
    <w:rsid w:val="001369C9"/>
    <w:rsid w:val="00155D10"/>
    <w:rsid w:val="001619CD"/>
    <w:rsid w:val="00161C31"/>
    <w:rsid w:val="00171DD4"/>
    <w:rsid w:val="00176058"/>
    <w:rsid w:val="0019154B"/>
    <w:rsid w:val="00192173"/>
    <w:rsid w:val="001945E2"/>
    <w:rsid w:val="00194C8D"/>
    <w:rsid w:val="001A1B60"/>
    <w:rsid w:val="001A6B63"/>
    <w:rsid w:val="001B5C3C"/>
    <w:rsid w:val="001C13A6"/>
    <w:rsid w:val="001C50BD"/>
    <w:rsid w:val="001C623E"/>
    <w:rsid w:val="001D2BCF"/>
    <w:rsid w:val="001D572D"/>
    <w:rsid w:val="001E3900"/>
    <w:rsid w:val="001F1277"/>
    <w:rsid w:val="00205FE6"/>
    <w:rsid w:val="002129C7"/>
    <w:rsid w:val="00220758"/>
    <w:rsid w:val="00235D48"/>
    <w:rsid w:val="002403F8"/>
    <w:rsid w:val="0024084F"/>
    <w:rsid w:val="002420D2"/>
    <w:rsid w:val="00257DC2"/>
    <w:rsid w:val="00257E81"/>
    <w:rsid w:val="00260B76"/>
    <w:rsid w:val="002709EE"/>
    <w:rsid w:val="00296535"/>
    <w:rsid w:val="002C0854"/>
    <w:rsid w:val="002C53BF"/>
    <w:rsid w:val="002C5A2E"/>
    <w:rsid w:val="002C69FB"/>
    <w:rsid w:val="002D1CAE"/>
    <w:rsid w:val="002F6AFA"/>
    <w:rsid w:val="00321771"/>
    <w:rsid w:val="00322D4D"/>
    <w:rsid w:val="0032376F"/>
    <w:rsid w:val="0033493F"/>
    <w:rsid w:val="003400D0"/>
    <w:rsid w:val="00343605"/>
    <w:rsid w:val="00361628"/>
    <w:rsid w:val="00366381"/>
    <w:rsid w:val="00370C1F"/>
    <w:rsid w:val="003713AF"/>
    <w:rsid w:val="00381F9F"/>
    <w:rsid w:val="003B5639"/>
    <w:rsid w:val="003B7400"/>
    <w:rsid w:val="003D05ED"/>
    <w:rsid w:val="003D47ED"/>
    <w:rsid w:val="003D77F8"/>
    <w:rsid w:val="003E4FE1"/>
    <w:rsid w:val="003E527F"/>
    <w:rsid w:val="003E75A4"/>
    <w:rsid w:val="003F114C"/>
    <w:rsid w:val="004176ED"/>
    <w:rsid w:val="00420B37"/>
    <w:rsid w:val="004227C0"/>
    <w:rsid w:val="00425AEB"/>
    <w:rsid w:val="0045313B"/>
    <w:rsid w:val="004535C0"/>
    <w:rsid w:val="00456898"/>
    <w:rsid w:val="00474DD1"/>
    <w:rsid w:val="00485EE2"/>
    <w:rsid w:val="004A40E4"/>
    <w:rsid w:val="004A621F"/>
    <w:rsid w:val="004C12D1"/>
    <w:rsid w:val="004C260E"/>
    <w:rsid w:val="004C592D"/>
    <w:rsid w:val="004C67BA"/>
    <w:rsid w:val="004C6907"/>
    <w:rsid w:val="004C6ED8"/>
    <w:rsid w:val="004D5037"/>
    <w:rsid w:val="004E72FC"/>
    <w:rsid w:val="00502605"/>
    <w:rsid w:val="00506BB8"/>
    <w:rsid w:val="00510B22"/>
    <w:rsid w:val="00515A13"/>
    <w:rsid w:val="00516874"/>
    <w:rsid w:val="00521853"/>
    <w:rsid w:val="00524BBC"/>
    <w:rsid w:val="00525637"/>
    <w:rsid w:val="00541959"/>
    <w:rsid w:val="005579D4"/>
    <w:rsid w:val="005649C0"/>
    <w:rsid w:val="005747A3"/>
    <w:rsid w:val="00577704"/>
    <w:rsid w:val="00594865"/>
    <w:rsid w:val="005A1526"/>
    <w:rsid w:val="005A2B18"/>
    <w:rsid w:val="005A7674"/>
    <w:rsid w:val="005B51CD"/>
    <w:rsid w:val="005D111E"/>
    <w:rsid w:val="005D561D"/>
    <w:rsid w:val="0060605F"/>
    <w:rsid w:val="00611D43"/>
    <w:rsid w:val="00612026"/>
    <w:rsid w:val="00614C89"/>
    <w:rsid w:val="006222B1"/>
    <w:rsid w:val="00624280"/>
    <w:rsid w:val="006328FA"/>
    <w:rsid w:val="00651360"/>
    <w:rsid w:val="00654A3E"/>
    <w:rsid w:val="006653F1"/>
    <w:rsid w:val="00666CAA"/>
    <w:rsid w:val="00676A29"/>
    <w:rsid w:val="00683D48"/>
    <w:rsid w:val="00686573"/>
    <w:rsid w:val="00697BED"/>
    <w:rsid w:val="006B4153"/>
    <w:rsid w:val="006C4B75"/>
    <w:rsid w:val="006C69EC"/>
    <w:rsid w:val="006E0236"/>
    <w:rsid w:val="00702A7E"/>
    <w:rsid w:val="0070339C"/>
    <w:rsid w:val="0072082B"/>
    <w:rsid w:val="00731AF5"/>
    <w:rsid w:val="00732AFB"/>
    <w:rsid w:val="007338C7"/>
    <w:rsid w:val="00766475"/>
    <w:rsid w:val="00783535"/>
    <w:rsid w:val="00785734"/>
    <w:rsid w:val="00791975"/>
    <w:rsid w:val="00795AB7"/>
    <w:rsid w:val="007978EE"/>
    <w:rsid w:val="00797EC7"/>
    <w:rsid w:val="007A535D"/>
    <w:rsid w:val="007B1ABB"/>
    <w:rsid w:val="007D09A1"/>
    <w:rsid w:val="007D1D11"/>
    <w:rsid w:val="007D6B8A"/>
    <w:rsid w:val="007E6D8B"/>
    <w:rsid w:val="007F3079"/>
    <w:rsid w:val="008019FF"/>
    <w:rsid w:val="00801F1B"/>
    <w:rsid w:val="0080477A"/>
    <w:rsid w:val="0081324F"/>
    <w:rsid w:val="00826996"/>
    <w:rsid w:val="00851B99"/>
    <w:rsid w:val="00853D53"/>
    <w:rsid w:val="00873AFE"/>
    <w:rsid w:val="00886AB0"/>
    <w:rsid w:val="00886B15"/>
    <w:rsid w:val="00894427"/>
    <w:rsid w:val="00897AFF"/>
    <w:rsid w:val="008A71EA"/>
    <w:rsid w:val="008B7D99"/>
    <w:rsid w:val="008C0B93"/>
    <w:rsid w:val="008E2015"/>
    <w:rsid w:val="008E4EE4"/>
    <w:rsid w:val="008E7CAA"/>
    <w:rsid w:val="00902232"/>
    <w:rsid w:val="009029CC"/>
    <w:rsid w:val="009035E3"/>
    <w:rsid w:val="00914AC2"/>
    <w:rsid w:val="00916A1D"/>
    <w:rsid w:val="00917B8F"/>
    <w:rsid w:val="00922412"/>
    <w:rsid w:val="00931228"/>
    <w:rsid w:val="009412F3"/>
    <w:rsid w:val="009425BC"/>
    <w:rsid w:val="00975419"/>
    <w:rsid w:val="00983A98"/>
    <w:rsid w:val="009878CC"/>
    <w:rsid w:val="009937DE"/>
    <w:rsid w:val="0099640C"/>
    <w:rsid w:val="009A4CE6"/>
    <w:rsid w:val="009C4F18"/>
    <w:rsid w:val="009C726B"/>
    <w:rsid w:val="009D0244"/>
    <w:rsid w:val="009D2ADE"/>
    <w:rsid w:val="009D34BC"/>
    <w:rsid w:val="009D52B4"/>
    <w:rsid w:val="009F365C"/>
    <w:rsid w:val="00A239AE"/>
    <w:rsid w:val="00A27A20"/>
    <w:rsid w:val="00A42C19"/>
    <w:rsid w:val="00A57008"/>
    <w:rsid w:val="00A65485"/>
    <w:rsid w:val="00A724D8"/>
    <w:rsid w:val="00A92F7C"/>
    <w:rsid w:val="00AB1361"/>
    <w:rsid w:val="00AB1A33"/>
    <w:rsid w:val="00AC1B89"/>
    <w:rsid w:val="00AC55F1"/>
    <w:rsid w:val="00AC7C66"/>
    <w:rsid w:val="00AC7E77"/>
    <w:rsid w:val="00AD2651"/>
    <w:rsid w:val="00AD6F95"/>
    <w:rsid w:val="00AF3FB9"/>
    <w:rsid w:val="00B107FB"/>
    <w:rsid w:val="00B11031"/>
    <w:rsid w:val="00B13BA0"/>
    <w:rsid w:val="00B13CF4"/>
    <w:rsid w:val="00B201F6"/>
    <w:rsid w:val="00B20BAF"/>
    <w:rsid w:val="00B3487E"/>
    <w:rsid w:val="00B42AFF"/>
    <w:rsid w:val="00B46A48"/>
    <w:rsid w:val="00B5772C"/>
    <w:rsid w:val="00B6199A"/>
    <w:rsid w:val="00B641FF"/>
    <w:rsid w:val="00B64328"/>
    <w:rsid w:val="00B744C7"/>
    <w:rsid w:val="00B77531"/>
    <w:rsid w:val="00B83408"/>
    <w:rsid w:val="00B922BA"/>
    <w:rsid w:val="00B975CF"/>
    <w:rsid w:val="00BA0B29"/>
    <w:rsid w:val="00BA6CE6"/>
    <w:rsid w:val="00BB00AA"/>
    <w:rsid w:val="00BB1EA0"/>
    <w:rsid w:val="00BB727C"/>
    <w:rsid w:val="00BB7543"/>
    <w:rsid w:val="00BE3123"/>
    <w:rsid w:val="00BE58C0"/>
    <w:rsid w:val="00BE77C7"/>
    <w:rsid w:val="00BF1E02"/>
    <w:rsid w:val="00BF5C1B"/>
    <w:rsid w:val="00BF6F64"/>
    <w:rsid w:val="00C12053"/>
    <w:rsid w:val="00C21A21"/>
    <w:rsid w:val="00C246A5"/>
    <w:rsid w:val="00C33BE5"/>
    <w:rsid w:val="00C3473F"/>
    <w:rsid w:val="00C43FF4"/>
    <w:rsid w:val="00C604CF"/>
    <w:rsid w:val="00C67193"/>
    <w:rsid w:val="00C67672"/>
    <w:rsid w:val="00C7778F"/>
    <w:rsid w:val="00C8043C"/>
    <w:rsid w:val="00C81837"/>
    <w:rsid w:val="00C83ECD"/>
    <w:rsid w:val="00CA0B4C"/>
    <w:rsid w:val="00CA520F"/>
    <w:rsid w:val="00CB6D99"/>
    <w:rsid w:val="00CC0AF1"/>
    <w:rsid w:val="00CE75DF"/>
    <w:rsid w:val="00CF1162"/>
    <w:rsid w:val="00CF262B"/>
    <w:rsid w:val="00CF33C1"/>
    <w:rsid w:val="00D0697F"/>
    <w:rsid w:val="00D16D5C"/>
    <w:rsid w:val="00D25CAD"/>
    <w:rsid w:val="00D25FC3"/>
    <w:rsid w:val="00D27CB5"/>
    <w:rsid w:val="00D33DF9"/>
    <w:rsid w:val="00D36490"/>
    <w:rsid w:val="00D36D06"/>
    <w:rsid w:val="00D47E34"/>
    <w:rsid w:val="00D538FF"/>
    <w:rsid w:val="00D568DA"/>
    <w:rsid w:val="00D643FA"/>
    <w:rsid w:val="00D72074"/>
    <w:rsid w:val="00D74EB4"/>
    <w:rsid w:val="00D93E88"/>
    <w:rsid w:val="00D97583"/>
    <w:rsid w:val="00DA5D5D"/>
    <w:rsid w:val="00DB5E21"/>
    <w:rsid w:val="00DC0632"/>
    <w:rsid w:val="00DC43D8"/>
    <w:rsid w:val="00DC448B"/>
    <w:rsid w:val="00DD16FF"/>
    <w:rsid w:val="00DE055E"/>
    <w:rsid w:val="00DE71F5"/>
    <w:rsid w:val="00DF49FD"/>
    <w:rsid w:val="00DF5F21"/>
    <w:rsid w:val="00DF7DC8"/>
    <w:rsid w:val="00E00229"/>
    <w:rsid w:val="00E037D6"/>
    <w:rsid w:val="00E126B4"/>
    <w:rsid w:val="00E270F7"/>
    <w:rsid w:val="00E36AE3"/>
    <w:rsid w:val="00E3700A"/>
    <w:rsid w:val="00E41AFF"/>
    <w:rsid w:val="00E4327E"/>
    <w:rsid w:val="00E52187"/>
    <w:rsid w:val="00E57E21"/>
    <w:rsid w:val="00E73F88"/>
    <w:rsid w:val="00E74B15"/>
    <w:rsid w:val="00E93146"/>
    <w:rsid w:val="00E93320"/>
    <w:rsid w:val="00EB05A7"/>
    <w:rsid w:val="00EB5053"/>
    <w:rsid w:val="00EE72DB"/>
    <w:rsid w:val="00EF192B"/>
    <w:rsid w:val="00EF6C44"/>
    <w:rsid w:val="00EF7D82"/>
    <w:rsid w:val="00F03F7A"/>
    <w:rsid w:val="00F132F1"/>
    <w:rsid w:val="00F25BF4"/>
    <w:rsid w:val="00F36559"/>
    <w:rsid w:val="00F53117"/>
    <w:rsid w:val="00F70244"/>
    <w:rsid w:val="00F72199"/>
    <w:rsid w:val="00F90D92"/>
    <w:rsid w:val="00FB6876"/>
    <w:rsid w:val="00FD3DC0"/>
    <w:rsid w:val="00FF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BD3A2"/>
  <w15:chartTrackingRefBased/>
  <w15:docId w15:val="{00A2D8E6-027A-7B45-BEDB-58DB8471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F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3F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1748515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amanetwork.com/journals/jamaophthalmology/fullarticle/10.1001/jamaophthalmol.2019.2901?utm_source=openevidence&amp;utm_medium=referra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amanetwork.com/journals/jamanetworkopen/fullarticle/10.1001/jamanetworkopen.2024.38677?utm_source=openevidence&amp;utm_medium=referra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ubmed.ncbi.nlm.nih.gov/22060273" TargetMode="External"/><Relationship Id="rId10" Type="http://schemas.openxmlformats.org/officeDocument/2006/relationships/hyperlink" Target="https://pubmed.ncbi.nlm.nih.gov/30844258" TargetMode="External"/><Relationship Id="rId4" Type="http://schemas.openxmlformats.org/officeDocument/2006/relationships/hyperlink" Target="https://pubmed.ncbi.nlm.nih.gov/40120626" TargetMode="External"/><Relationship Id="rId9" Type="http://schemas.openxmlformats.org/officeDocument/2006/relationships/hyperlink" Target="https://pubmed.ncbi.nlm.nih.gov/199249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Soko Setoguchi</dc:creator>
  <cp:keywords/>
  <dc:description/>
  <cp:lastModifiedBy>Soko Setoguchi</cp:lastModifiedBy>
  <cp:revision>1</cp:revision>
  <dcterms:created xsi:type="dcterms:W3CDTF">2026-08-26T00:19:00Z</dcterms:created>
  <dcterms:modified xsi:type="dcterms:W3CDTF">2026-08-26T00:21:00Z</dcterms:modified>
</cp:coreProperties>
</file>