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A670" w14:textId="77777777" w:rsidR="007A1D2E" w:rsidRDefault="007A1D2E">
      <w:pPr>
        <w:widowControl/>
        <w:spacing w:after="0"/>
        <w:jc w:val="right"/>
      </w:pPr>
      <w:r>
        <w:rPr>
          <w:sz w:val="24"/>
          <w:u w:val="single"/>
        </w:rPr>
        <w:t>评分：</w:t>
      </w:r>
      <w:r>
        <w:rPr>
          <w:sz w:val="24"/>
          <w:u w:val="single"/>
        </w:rPr>
        <w:t>_______</w:t>
      </w:r>
    </w:p>
    <w:p w14:paraId="0C0DE25E" w14:textId="77777777" w:rsidR="007A1D2E" w:rsidRDefault="007A1D2E">
      <w:pPr>
        <w:widowControl/>
        <w:spacing w:after="0"/>
      </w:pPr>
    </w:p>
    <w:p w14:paraId="0BB1F529" w14:textId="77777777" w:rsidR="007A1D2E" w:rsidRDefault="00301F2E">
      <w:pPr>
        <w:widowControl/>
        <w:spacing w:before="600" w:after="200"/>
        <w:jc w:val="center"/>
      </w:pPr>
      <w:r>
        <w:rPr>
          <w:rFonts w:ascii="宋体" w:eastAsia="宋体" w:hAnsi="宋体"/>
          <w:b/>
          <w:sz w:val="40"/>
        </w:rPr>
        <w:t>《Python 数据分析编程》</w:t>
      </w:r>
    </w:p>
    <w:p w14:paraId="4516E489" w14:textId="77777777" w:rsidR="007A1D2E" w:rsidRDefault="00301F2E">
      <w:pPr>
        <w:widowControl/>
        <w:spacing w:after="720"/>
        <w:jc w:val="center"/>
      </w:pPr>
      <w:r>
        <w:rPr>
          <w:rFonts w:ascii="宋体" w:eastAsia="宋体" w:hAnsi="宋体"/>
          <w:b/>
          <w:sz w:val="56"/>
        </w:rPr>
        <w:t>项目报告</w:t>
      </w:r>
    </w:p>
    <w:p w14:paraId="1A4A2FEB" w14:textId="77777777" w:rsidR="007A1D2E" w:rsidRDefault="00301F2E">
      <w:pPr>
        <w:widowControl/>
        <w:spacing w:after="200"/>
        <w:jc w:val="center"/>
      </w:pPr>
      <w:r>
        <w:rPr>
          <w:rFonts w:ascii="宋体" w:eastAsia="宋体" w:hAnsi="宋体"/>
          <w:b/>
          <w:sz w:val="36"/>
        </w:rPr>
        <w:t>题目四　城市电力负荷分析与预测</w:t>
      </w:r>
    </w:p>
    <w:p w14:paraId="2B1CFD2D" w14:textId="77777777" w:rsidR="007A1D2E" w:rsidRDefault="00301F2E">
      <w:pPr>
        <w:widowControl/>
        <w:spacing w:after="1400"/>
        <w:jc w:val="center"/>
      </w:pPr>
      <w:r>
        <w:rPr>
          <w:rFonts w:ascii="宋体" w:eastAsia="宋体" w:hAnsi="宋体"/>
          <w:sz w:val="24"/>
        </w:rPr>
        <w:t>——基于 2017 年 10 分钟负荷与气象数据的规律分析与短期预测</w:t>
      </w:r>
    </w:p>
    <w:p w14:paraId="122960AC" w14:textId="77777777" w:rsidR="007A1D2E" w:rsidRDefault="00301F2E">
      <w:pPr>
        <w:widowControl/>
        <w:spacing w:after="240"/>
        <w:ind w:left="2381"/>
        <w:jc w:val="left"/>
      </w:pPr>
      <w:r>
        <w:rPr>
          <w:rFonts w:ascii="宋体" w:eastAsia="宋体" w:hAnsi="宋体"/>
          <w:sz w:val="24"/>
        </w:rPr>
        <w:t>学　　院：未来技术学院</w:t>
      </w:r>
    </w:p>
    <w:p w14:paraId="586E583C" w14:textId="77777777" w:rsidR="007A1D2E" w:rsidRDefault="00301F2E">
      <w:pPr>
        <w:widowControl/>
        <w:spacing w:after="240"/>
        <w:ind w:left="2381"/>
        <w:jc w:val="left"/>
      </w:pPr>
      <w:r>
        <w:rPr>
          <w:rFonts w:ascii="宋体" w:eastAsia="宋体" w:hAnsi="宋体"/>
          <w:sz w:val="24"/>
        </w:rPr>
        <w:t>专　　业：____________________</w:t>
      </w:r>
    </w:p>
    <w:p w14:paraId="1C3BE704" w14:textId="77777777" w:rsidR="007A1D2E" w:rsidRDefault="00301F2E">
      <w:pPr>
        <w:widowControl/>
        <w:spacing w:after="240"/>
        <w:ind w:left="2381"/>
        <w:jc w:val="left"/>
      </w:pPr>
      <w:r>
        <w:rPr>
          <w:rFonts w:ascii="宋体" w:eastAsia="宋体" w:hAnsi="宋体"/>
          <w:sz w:val="24"/>
        </w:rPr>
        <w:t>学　　号：25121639　25121625　25121624</w:t>
      </w:r>
    </w:p>
    <w:p w14:paraId="411A498A" w14:textId="77777777" w:rsidR="007A1D2E" w:rsidRDefault="00301F2E">
      <w:pPr>
        <w:widowControl/>
        <w:spacing w:after="240"/>
        <w:ind w:left="2381"/>
        <w:jc w:val="left"/>
      </w:pPr>
      <w:r>
        <w:rPr>
          <w:rFonts w:ascii="宋体" w:eastAsia="宋体" w:hAnsi="宋体"/>
          <w:sz w:val="24"/>
        </w:rPr>
        <w:t>学生姓名：江玉婷　沈成源　谭煜霖</w:t>
      </w:r>
    </w:p>
    <w:p w14:paraId="2883F8BE" w14:textId="77777777" w:rsidR="007A1D2E" w:rsidRDefault="00301F2E">
      <w:pPr>
        <w:widowControl/>
        <w:spacing w:after="240"/>
        <w:ind w:left="2381"/>
        <w:jc w:val="left"/>
      </w:pPr>
      <w:r>
        <w:rPr>
          <w:rFonts w:ascii="宋体" w:eastAsia="宋体" w:hAnsi="宋体"/>
          <w:sz w:val="24"/>
        </w:rPr>
        <w:t>课　　程：Python 数据分析编程</w:t>
      </w:r>
    </w:p>
    <w:p w14:paraId="69EA610B" w14:textId="77777777" w:rsidR="007A1D2E" w:rsidRDefault="00301F2E">
      <w:pPr>
        <w:widowControl/>
        <w:spacing w:before="1100"/>
        <w:jc w:val="center"/>
      </w:pPr>
      <w:r>
        <w:rPr>
          <w:rFonts w:ascii="宋体" w:eastAsia="宋体" w:hAnsi="宋体"/>
          <w:sz w:val="24"/>
        </w:rPr>
        <w:t>2026 年 11 月</w:t>
      </w:r>
    </w:p>
    <w:p w14:paraId="5F99E2E6" w14:textId="77777777" w:rsidR="007A1D2E" w:rsidRDefault="00301F2E">
      <w:pPr>
        <w:widowControl/>
      </w:pPr>
      <w:r>
        <w:br w:type="page"/>
      </w:r>
    </w:p>
    <w:p w14:paraId="2DA26DB8" w14:textId="77777777" w:rsidR="007A1D2E" w:rsidRDefault="00301F2E">
      <w:pPr>
        <w:widowControl/>
        <w:spacing w:before="160" w:after="360"/>
        <w:jc w:val="center"/>
      </w:pPr>
      <w:r>
        <w:rPr>
          <w:rFonts w:ascii="宋体" w:eastAsia="宋体" w:hAnsi="宋体"/>
          <w:b/>
          <w:sz w:val="36"/>
        </w:rPr>
        <w:lastRenderedPageBreak/>
        <w:t>目　　录</w:t>
      </w:r>
    </w:p>
    <w:p w14:paraId="6809C725" w14:textId="7C15125D" w:rsidR="00484D00" w:rsidRDefault="00301F2E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208947" w:history="1">
        <w:r w:rsidR="00484D00" w:rsidRPr="00FA67BC">
          <w:rPr>
            <w:rStyle w:val="a6"/>
            <w:noProof/>
          </w:rPr>
          <w:t>摘　要</w:t>
        </w:r>
        <w:r w:rsidR="00484D00">
          <w:rPr>
            <w:rFonts w:hint="eastAsia"/>
            <w:noProof/>
            <w:webHidden/>
          </w:rPr>
          <w:tab/>
        </w:r>
        <w:r w:rsidR="00484D00">
          <w:rPr>
            <w:rFonts w:hint="eastAsia"/>
            <w:noProof/>
            <w:webHidden/>
          </w:rPr>
          <w:fldChar w:fldCharType="begin"/>
        </w:r>
        <w:r w:rsidR="00484D00">
          <w:rPr>
            <w:rFonts w:hint="eastAsia"/>
            <w:noProof/>
            <w:webHidden/>
          </w:rPr>
          <w:instrText xml:space="preserve"> </w:instrText>
        </w:r>
        <w:r w:rsidR="00484D00">
          <w:rPr>
            <w:noProof/>
            <w:webHidden/>
          </w:rPr>
          <w:instrText>PAGEREF _Toc244208947 \h</w:instrText>
        </w:r>
        <w:r w:rsidR="00484D00">
          <w:rPr>
            <w:rFonts w:hint="eastAsia"/>
            <w:noProof/>
            <w:webHidden/>
          </w:rPr>
          <w:instrText xml:space="preserve"> </w:instrText>
        </w:r>
        <w:r w:rsidR="00484D00">
          <w:rPr>
            <w:rFonts w:hint="eastAsia"/>
            <w:noProof/>
            <w:webHidden/>
          </w:rPr>
        </w:r>
        <w:r w:rsidR="00484D00">
          <w:rPr>
            <w:rFonts w:hint="eastAsia"/>
            <w:noProof/>
            <w:webHidden/>
          </w:rPr>
          <w:fldChar w:fldCharType="separate"/>
        </w:r>
        <w:r w:rsidR="00484D00">
          <w:rPr>
            <w:rFonts w:hint="eastAsia"/>
            <w:noProof/>
            <w:webHidden/>
          </w:rPr>
          <w:t>2</w:t>
        </w:r>
        <w:r w:rsidR="00484D00">
          <w:rPr>
            <w:rFonts w:hint="eastAsia"/>
            <w:noProof/>
            <w:webHidden/>
          </w:rPr>
          <w:fldChar w:fldCharType="end"/>
        </w:r>
      </w:hyperlink>
    </w:p>
    <w:p w14:paraId="5A29C58F" w14:textId="59FA8B4C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48" w:history="1">
        <w:r w:rsidRPr="00FA67BC">
          <w:rPr>
            <w:rStyle w:val="a6"/>
            <w:noProof/>
          </w:rPr>
          <w:t>1.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CE71A" w14:textId="610825A9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49" w:history="1">
        <w:r w:rsidRPr="00FA67BC">
          <w:rPr>
            <w:rStyle w:val="a6"/>
            <w:noProof/>
          </w:rPr>
          <w:t>2. 数据介绍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A965B" w14:textId="738890BD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50" w:history="1">
        <w:r w:rsidRPr="00FA67BC">
          <w:rPr>
            <w:rStyle w:val="a6"/>
            <w:noProof/>
          </w:rPr>
          <w:t>3. 数据清洗与预处理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6E697" w14:textId="10E92C70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1" w:history="1">
        <w:r w:rsidRPr="00FA67BC">
          <w:rPr>
            <w:rStyle w:val="a6"/>
            <w:noProof/>
          </w:rPr>
          <w:t>3.1 时间索引与字段规范化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91E46" w14:textId="144825E0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2" w:history="1">
        <w:r w:rsidRPr="00FA67BC">
          <w:rPr>
            <w:rStyle w:val="a6"/>
            <w:noProof/>
          </w:rPr>
          <w:t>3.2 缺失值与不合理取值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B412A" w14:textId="246359DC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3" w:history="1">
        <w:r w:rsidRPr="00FA67BC">
          <w:rPr>
            <w:rStyle w:val="a6"/>
            <w:noProof/>
          </w:rPr>
          <w:t>3.3 负荷尖峰的识别与处理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FCB03" w14:textId="1793CF26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54" w:history="1">
        <w:r w:rsidRPr="00FA67BC">
          <w:rPr>
            <w:rStyle w:val="a6"/>
            <w:noProof/>
          </w:rPr>
          <w:t>4. 负荷的时间规律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C1B5C" w14:textId="3E6B81ED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5" w:history="1">
        <w:r w:rsidRPr="00FA67BC">
          <w:rPr>
            <w:rStyle w:val="a6"/>
            <w:noProof/>
          </w:rPr>
          <w:t>4.1 日内规律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2A07E" w14:textId="47784EE8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6" w:history="1">
        <w:r w:rsidRPr="00FA67BC">
          <w:rPr>
            <w:rStyle w:val="a6"/>
            <w:noProof/>
          </w:rPr>
          <w:t>4.2 周内规律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3D638" w14:textId="2BC952DC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7" w:history="1">
        <w:r w:rsidRPr="00FA67BC">
          <w:rPr>
            <w:rStyle w:val="a6"/>
            <w:noProof/>
          </w:rPr>
          <w:t>4.3 季节规律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DF105" w14:textId="77A72290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58" w:history="1">
        <w:r w:rsidRPr="00FA67BC">
          <w:rPr>
            <w:rStyle w:val="a6"/>
            <w:noProof/>
          </w:rPr>
          <w:t>5. 三个分区的用电特征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41C04" w14:textId="4A27B04A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59" w:history="1">
        <w:r w:rsidRPr="00FA67BC">
          <w:rPr>
            <w:rStyle w:val="a6"/>
            <w:noProof/>
          </w:rPr>
          <w:t>5.1 规模与占比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339F12" w14:textId="57F57AF8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0" w:history="1">
        <w:r w:rsidRPr="00FA67BC">
          <w:rPr>
            <w:rStyle w:val="a6"/>
            <w:noProof/>
          </w:rPr>
          <w:t>5.2 波动性与峰谷差异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6A324F" w14:textId="3E149006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1" w:history="1">
        <w:r w:rsidRPr="00FA67BC">
          <w:rPr>
            <w:rStyle w:val="a6"/>
            <w:noProof/>
          </w:rPr>
          <w:t>5.3 Zone3 的结构变化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18C016" w14:textId="575A51F8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62" w:history="1">
        <w:r w:rsidRPr="00FA67BC">
          <w:rPr>
            <w:rStyle w:val="a6"/>
            <w:noProof/>
          </w:rPr>
          <w:t>6. 气象相关性与短期预测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DFF75" w14:textId="1C140C08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3" w:history="1">
        <w:r w:rsidRPr="00FA67BC">
          <w:rPr>
            <w:rStyle w:val="a6"/>
            <w:noProof/>
          </w:rPr>
          <w:t>6.1 全样本相关性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8E0D49" w14:textId="4F71D268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4" w:history="1">
        <w:r w:rsidRPr="00FA67BC">
          <w:rPr>
            <w:rStyle w:val="a6"/>
            <w:noProof/>
          </w:rPr>
          <w:t>6.2 相关性的季节与时段差异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084EF" w14:textId="439A1797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5" w:history="1">
        <w:r w:rsidRPr="00FA67BC">
          <w:rPr>
            <w:rStyle w:val="a6"/>
            <w:noProof/>
          </w:rPr>
          <w:t>6.3 短期负荷预测模型与评估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88F62" w14:textId="38F5F82B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66" w:history="1">
        <w:r w:rsidRPr="00FA67BC">
          <w:rPr>
            <w:rStyle w:val="a6"/>
            <w:noProof/>
          </w:rPr>
          <w:t>7. 总结与结论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14BD0" w14:textId="25415126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67" w:history="1">
        <w:r w:rsidRPr="00FA67BC">
          <w:rPr>
            <w:rStyle w:val="a6"/>
            <w:noProof/>
          </w:rPr>
          <w:t>8. 小组成员分工与个人承担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640A8" w14:textId="155554C3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8" w:history="1">
        <w:r w:rsidRPr="00FA67BC">
          <w:rPr>
            <w:rStyle w:val="a6"/>
            <w:noProof/>
          </w:rPr>
          <w:t>8.1 江玉婷：个人承担说明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B470F" w14:textId="1C44F1C6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69" w:history="1">
        <w:r w:rsidRPr="00FA67BC">
          <w:rPr>
            <w:rStyle w:val="a6"/>
            <w:noProof/>
          </w:rPr>
          <w:t>8.2 沈成源：个人承担说明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1DA5C" w14:textId="2DA00150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70" w:history="1">
        <w:r w:rsidRPr="00FA67BC">
          <w:rPr>
            <w:rStyle w:val="a6"/>
            <w:noProof/>
          </w:rPr>
          <w:t>8.3 谭煜霖：个人承担说明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F2DDB0" w14:textId="5334CF29" w:rsidR="00484D00" w:rsidRDefault="00484D00">
      <w:pPr>
        <w:pStyle w:val="TOC1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caps w:val="0"/>
          <w:noProof/>
          <w:sz w:val="22"/>
          <w:szCs w:val="24"/>
          <w:u w:val="none"/>
          <w14:ligatures w14:val="standardContextual"/>
        </w:rPr>
      </w:pPr>
      <w:hyperlink w:anchor="_Toc244208971" w:history="1">
        <w:r w:rsidRPr="00FA67BC">
          <w:rPr>
            <w:rStyle w:val="a6"/>
            <w:noProof/>
          </w:rPr>
          <w:t>9.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F9E6D" w14:textId="07573097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72" w:history="1">
        <w:r w:rsidRPr="00FA67BC">
          <w:rPr>
            <w:rStyle w:val="a6"/>
            <w:noProof/>
          </w:rPr>
          <w:t>9.1 代码仓库与运行顺序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D8E3E" w14:textId="27B8FDA3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73" w:history="1">
        <w:r w:rsidRPr="00FA67BC">
          <w:rPr>
            <w:rStyle w:val="a6"/>
            <w:noProof/>
          </w:rPr>
          <w:t>9.2 主要代码片段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A6C7C6" w14:textId="05A160F8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74" w:history="1">
        <w:r w:rsidRPr="00FA67BC">
          <w:rPr>
            <w:rStyle w:val="a6"/>
            <w:noProof/>
          </w:rPr>
          <w:t>9.3 图表与统计表清单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ADC4E" w14:textId="137CD1E3" w:rsidR="00484D00" w:rsidRDefault="00484D00">
      <w:pPr>
        <w:pStyle w:val="TOC2"/>
        <w:tabs>
          <w:tab w:val="right" w:leader="dot" w:pos="8494"/>
        </w:tabs>
        <w:rPr>
          <w:rFonts w:asciiTheme="minorHAnsi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44208975" w:history="1">
        <w:r w:rsidRPr="00FA67BC">
          <w:rPr>
            <w:rStyle w:val="a6"/>
            <w:noProof/>
          </w:rPr>
          <w:t>9.4 交付文件与提交清单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_Toc244208975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EB175" w14:textId="6AF29365" w:rsidR="007A1D2E" w:rsidRDefault="00301F2E">
      <w:pPr>
        <w:widowControl/>
      </w:pPr>
      <w:r>
        <w:fldChar w:fldCharType="end"/>
      </w:r>
    </w:p>
    <w:p w14:paraId="54EAB2DD" w14:textId="77777777" w:rsidR="007A1D2E" w:rsidRDefault="00301F2E">
      <w:pPr>
        <w:widowControl/>
      </w:pPr>
      <w:r>
        <w:br w:type="page"/>
      </w:r>
    </w:p>
    <w:p w14:paraId="4ADCAE90" w14:textId="77777777" w:rsidR="007A1D2E" w:rsidRDefault="00301F2E">
      <w:pPr>
        <w:pStyle w:val="1"/>
        <w:keepLines/>
        <w:widowControl/>
        <w:spacing w:after="40" w:line="324" w:lineRule="auto"/>
      </w:pPr>
      <w:bookmarkStart w:id="0" w:name="_Toc244208947"/>
      <w:r>
        <w:lastRenderedPageBreak/>
        <w:t>摘　要</w:t>
      </w:r>
      <w:bookmarkEnd w:id="0"/>
    </w:p>
    <w:p w14:paraId="0F21A1D5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本文以某城市 2017 年 10 分钟电力负荷监测数据为对象，完成数据清洗、负荷规律分析、分区特征比较、气象相关分析和短期负荷预测建模。数据共 52,416 条，覆盖 2017 年可观测的 364 天，包含温度、湿度、风速、两类辐照指标和三个分区负荷。清洗阶段统一时间索引与字段命名，未发现缺失值和负荷负值；针对负荷尖峰，采用局部线性残差、孤立性与稳健 MAD 阈值识别异常，共标记 1,086 个点（占三个分区负荷记录的 0.691%），以时间插值替换且不删除记录。</w:t>
      </w:r>
    </w:p>
    <w:p w14:paraId="184A21DA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分析结果表明：日内负荷在 06:00 左右最低，20:00 达到峰值，12—14 时形成明显午间平台，呈“午间平台 + 晚间主峰”形态；周末总负荷仅比工作日低 3.8%，但 Zone2 的周末降幅达到 8.2%，分区差异比总量差异更值得关注；负荷呈夏季单峰，夏季均值比全年高 16.9%，冬季最低但与春季、秋季接近。分区层面，Zone1 规模最大（占 45.4%），Zone3 波动最强（变异系数 0.371、峰谷比 2.23），且 Zone3/Zone1 的月度比值在 8—12 月总体下降，11 月小幅回升。气象方面，温度与总负荷的 Pearson 相关系数为 0.488，是最主要的相关变量；12 个月的相关方向均为正，但月×小时切片中有 112/288 为负，说明温度效应随季节和时段变化。</w:t>
      </w:r>
    </w:p>
    <w:p w14:paraId="6F0167E2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短期预测采用日前口径，按时间顺序以 2017 年 1 月 8 日至 10 月 31 日的数据训练、11 月 1 日至 12 月 30 日的数据测试，比较持续性基线、线性回归与随机森林，并以 MSE、RMSE、MAE、R² 和 MAPE 评估。总负荷上，随机森林的测试集 RMSE 为 2,301.7 kW、R² 为 0.9738，优于线性回归和持续性基线；但分区最优模型并不一致，Zone1、Zone2 以线性回归更优，Zone3 以持续性基线更优，说明结构变化会限制复杂模型的收益。</w:t>
      </w:r>
    </w:p>
    <w:p w14:paraId="23FB3214" w14:textId="77777777" w:rsidR="007A1D2E" w:rsidRDefault="00301F2E">
      <w:pPr>
        <w:widowControl/>
        <w:spacing w:before="160" w:after="40" w:line="324" w:lineRule="auto"/>
      </w:pPr>
      <w:r>
        <w:rPr>
          <w:rFonts w:ascii="宋体" w:eastAsia="宋体" w:hAnsi="宋体"/>
          <w:b/>
        </w:rPr>
        <w:t>关键词：电力负荷；负荷规律；分区对比；气象相关性；短期预测</w:t>
      </w:r>
    </w:p>
    <w:p w14:paraId="76BCEF2C" w14:textId="77777777" w:rsidR="007A1D2E" w:rsidRDefault="00301F2E">
      <w:pPr>
        <w:widowControl/>
      </w:pPr>
      <w:r>
        <w:br w:type="page"/>
      </w:r>
    </w:p>
    <w:p w14:paraId="493056E2" w14:textId="77777777" w:rsidR="007A1D2E" w:rsidRDefault="00301F2E">
      <w:pPr>
        <w:pStyle w:val="1"/>
        <w:keepLines/>
        <w:widowControl/>
        <w:spacing w:after="40" w:line="324" w:lineRule="auto"/>
      </w:pPr>
      <w:bookmarkStart w:id="1" w:name="_Toc244208948"/>
      <w:r>
        <w:lastRenderedPageBreak/>
        <w:t>1. 引言</w:t>
      </w:r>
      <w:bookmarkEnd w:id="1"/>
    </w:p>
    <w:p w14:paraId="5E81E528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城市电力负荷同时受气温、湿度、作息制度、产业结构和大用户生产安排影响。准确掌握负荷在日、周、季节尺度上的变化，并识别不同分区的差异，是电网调度、机组组合和需求响应安排的基础。题目四要求完成从数据清洗、探索性分析、气象相关性分析到短期负荷预测的完整流程，并比较至少两种预测模型。</w:t>
      </w:r>
    </w:p>
    <w:p w14:paraId="38410D31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文的分析目标有三项。第一，描述负荷在日、周、季节三个尺度上的典型形态，给出可复核的峰谷时刻和幅度。第二，比较三个分区的规模、波动性和周内敏感性，避免只用总负荷一条曲线掩盖结构差异。第三，分析温度、湿度、风速和辐照指标与负荷的相关关系，并说明相关强度随月份和时段的变化。短期预测部分在此基础上给出建模方案和评估口径。</w:t>
      </w:r>
    </w:p>
    <w:p w14:paraId="32A3EC97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需要说明的是，数据只包含负荷和气象字段，没有分区用户类型、节假日和生产计划信息。因此本文把分区差异和气象关联作为统计描述，不把观察到的关系直接解释为因果。对于 Zone3 在 8—12 月的总体下降（11 月小幅回升），本文保留这一结构变化并提示业务核实，而不把它当作普通离群点处理。</w:t>
      </w:r>
    </w:p>
    <w:p w14:paraId="55B823E3" w14:textId="77777777" w:rsidR="007A1D2E" w:rsidRDefault="00301F2E">
      <w:pPr>
        <w:widowControl/>
      </w:pPr>
      <w:r>
        <w:br w:type="page"/>
      </w:r>
    </w:p>
    <w:p w14:paraId="14459CCD" w14:textId="77777777" w:rsidR="007A1D2E" w:rsidRDefault="00301F2E">
      <w:pPr>
        <w:pStyle w:val="1"/>
        <w:keepLines/>
        <w:widowControl/>
        <w:spacing w:after="40" w:line="324" w:lineRule="auto"/>
      </w:pPr>
      <w:bookmarkStart w:id="2" w:name="_Toc244208949"/>
      <w:r>
        <w:lastRenderedPageBreak/>
        <w:t>2. 数据介绍</w:t>
      </w:r>
      <w:bookmarkEnd w:id="2"/>
    </w:p>
    <w:p w14:paraId="4D9D1613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原始数据为 CSV 文件，共 52,416 行、9 列，采样间隔 10 分钟。时间范围为 2017-01-01 00:00 至 2017-12-30 23:50，共 364 个可观测日；文件中没有 2017-12-31 的记录，因此本文统一使用“2017 年可观测的 364 天”这一口径，不写“全年 365 天”。三个分区负荷以 kW 计，总负荷由三个分区逐条相加得到。</w:t>
      </w:r>
    </w:p>
    <w:p w14:paraId="1E64BA2F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1　数据字段说明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05"/>
        <w:gridCol w:w="2300"/>
        <w:gridCol w:w="1800"/>
        <w:gridCol w:w="1500"/>
      </w:tblGrid>
      <w:tr w:rsidR="007A1D2E" w14:paraId="73D80B1D" w14:textId="77777777">
        <w:trPr>
          <w:cantSplit/>
          <w:tblHeader/>
          <w:jc w:val="center"/>
        </w:trPr>
        <w:tc>
          <w:tcPr>
            <w:tcW w:w="2905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476A67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字段</w:t>
            </w:r>
          </w:p>
        </w:tc>
        <w:tc>
          <w:tcPr>
            <w:tcW w:w="230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C9B646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原始列名</w:t>
            </w:r>
          </w:p>
        </w:tc>
        <w:tc>
          <w:tcPr>
            <w:tcW w:w="180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6298DC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含义</w:t>
            </w:r>
          </w:p>
        </w:tc>
        <w:tc>
          <w:tcPr>
            <w:tcW w:w="150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8F0C4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单位/说明</w:t>
            </w:r>
          </w:p>
        </w:tc>
      </w:tr>
      <w:tr w:rsidR="007A1D2E" w14:paraId="791641D1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2F3E43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datetime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746B6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DateTime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83650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观测时间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87F3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10 分钟采样，作为时间索引</w:t>
            </w:r>
          </w:p>
        </w:tc>
      </w:tr>
      <w:tr w:rsidR="007A1D2E" w14:paraId="040AFB08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E7D60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temperature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AA1F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Temperature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51969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温度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DCBB5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℃，气象变量</w:t>
            </w:r>
          </w:p>
        </w:tc>
      </w:tr>
      <w:tr w:rsidR="007A1D2E" w14:paraId="31E41C87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4D04E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humidity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C1BEB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Humidity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EB0DF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湿度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449E7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%</w:t>
            </w:r>
          </w:p>
        </w:tc>
      </w:tr>
      <w:tr w:rsidR="007A1D2E" w14:paraId="78E7144E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273964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wind_speed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D17CB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Wind Speed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A9FB4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风速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8BBB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原始字段单位（未换算）</w:t>
            </w:r>
          </w:p>
        </w:tc>
      </w:tr>
      <w:tr w:rsidR="007A1D2E" w14:paraId="14C1F3E5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2DB9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general_diffuse_flows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EEF0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general diffuse flows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4716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一般散射辐照指标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4E528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原始字段单位（未换算）</w:t>
            </w:r>
          </w:p>
        </w:tc>
      </w:tr>
      <w:tr w:rsidR="007A1D2E" w14:paraId="008D5121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B657A7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diffuse_flows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D9C1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diffuse flows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6A63C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散射辐照指标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32E1F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原始字段单位（未换算）</w:t>
            </w:r>
          </w:p>
        </w:tc>
      </w:tr>
      <w:tr w:rsidR="007A1D2E" w14:paraId="723C3E81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E07C0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zone1_power_consumption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C236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 1 Power Consumption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6CC67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Zone1 负荷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EC8F2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kW</w:t>
            </w:r>
          </w:p>
        </w:tc>
      </w:tr>
      <w:tr w:rsidR="007A1D2E" w14:paraId="762D4853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36C052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zone2_power_consumption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7CBB2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 2  Power Consumption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52EF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Zone2 负荷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88C65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kW</w:t>
            </w:r>
          </w:p>
        </w:tc>
      </w:tr>
      <w:tr w:rsidR="007A1D2E" w14:paraId="2E104CC2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C80C1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zone3_power_consumption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43578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 3  Power Consumption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40FC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Zone3 负荷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D9D82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kW</w:t>
            </w:r>
          </w:p>
        </w:tc>
      </w:tr>
      <w:tr w:rsidR="007A1D2E" w14:paraId="73DF275A" w14:textId="77777777">
        <w:trPr>
          <w:cantSplit/>
          <w:jc w:val="center"/>
        </w:trPr>
        <w:tc>
          <w:tcPr>
            <w:tcW w:w="2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D81B9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zone_total_power_consumption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6687B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由三分区求和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22FB17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总负荷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079B57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kW</w:t>
            </w:r>
          </w:p>
        </w:tc>
      </w:tr>
    </w:tbl>
    <w:p w14:paraId="52F5A43A" w14:textId="77777777" w:rsidR="007A1D2E" w:rsidRDefault="007A1D2E">
      <w:pPr>
        <w:widowControl/>
        <w:spacing w:after="40"/>
      </w:pPr>
    </w:p>
    <w:p w14:paraId="34AA1AB7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从分布看，总负荷均值为 71,225 kW，标准差为 17,141 kW，最小值 36,785 kW、最大值 134,208 kW。三个分区中 Zone1 均值最高（32,346 kW），Zone2 为 21,042 kW，Zone3 为 17,836 kW。温度均值 18.81℃，范围 3.25—40.01℃，能够覆盖明显的季节变化。原始数据没有缺失值，但列名存在双空格和大小写不统一的问题，需要在清洗阶段处理。</w:t>
      </w:r>
    </w:p>
    <w:p w14:paraId="7CCFA98E" w14:textId="77777777" w:rsidR="007A1D2E" w:rsidRDefault="00301F2E">
      <w:pPr>
        <w:widowControl/>
      </w:pPr>
      <w:r>
        <w:br w:type="page"/>
      </w:r>
    </w:p>
    <w:p w14:paraId="45A8ACF0" w14:textId="77777777" w:rsidR="007A1D2E" w:rsidRDefault="00301F2E">
      <w:pPr>
        <w:pStyle w:val="1"/>
        <w:keepLines/>
        <w:widowControl/>
        <w:spacing w:after="40" w:line="324" w:lineRule="auto"/>
      </w:pPr>
      <w:bookmarkStart w:id="3" w:name="_Toc244208950"/>
      <w:r>
        <w:lastRenderedPageBreak/>
        <w:t>3. 数据清洗与预处理</w:t>
      </w:r>
      <w:bookmarkEnd w:id="3"/>
    </w:p>
    <w:p w14:paraId="72FF52DE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4" w:name="_Toc244208951"/>
      <w:r>
        <w:t>3.1 时间索引与字段规范化</w:t>
      </w:r>
      <w:bookmarkEnd w:id="4"/>
    </w:p>
    <w:p w14:paraId="481B0D21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原始 DateTime 为字符串格式，先解析为 datetime 类型并设为索引，再检查采样间隔、重复时间和缺口。清洗后索引范围为 2017-01-01 00:00 至 2017-12-30 23:50，频率为 10 分钟，每天均为 144 条，没有重复时间戳和缺口。字段名统一为小写蛇形命名，消除了“Zone 2  Power Consumption”这类双空格带来的引用风险。</w:t>
      </w:r>
    </w:p>
    <w:p w14:paraId="50D375D7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5" w:name="_Toc244208952"/>
      <w:r>
        <w:t>3.2 缺失值与不合理取值</w:t>
      </w:r>
      <w:bookmarkEnd w:id="5"/>
    </w:p>
    <w:p w14:paraId="5B5CA48D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全部 10 个字段均未检出缺失值，因此没有触发插值或删除策略。三个分区负荷的最小值分别为 13,896 kW、8,560 kW、6,045 kW，均为正数，没有发现负负荷。气象列只做物理范围检查：温度、湿度、风速和辐照指标均落在合理范围内，未做阈值替换，以免把真实的高频波动误删。</w:t>
      </w:r>
    </w:p>
    <w:p w14:paraId="0C21A133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6" w:name="_Toc244208953"/>
      <w:r>
        <w:t>3.3 负荷尖峰的识别与处理</w:t>
      </w:r>
      <w:bookmarkEnd w:id="6"/>
    </w:p>
    <w:p w14:paraId="0131CB31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负荷具有明显的日周期和季节周期，直接用全样本 3σ 或 IQR 判定会把正常的峰谷当成异常：3σ 对 Zone1 和 Zone2 几乎检不出异常，而 IQR×1.5 会把大量午后平台和夏季高峰标为离群点。为减少周期性误判，改用局部线性残差、孤立性与稳健 MAD 阈值（k=4）联合识别尖峰。最终标记 1,086 个异常点，占三个分区负荷样本的 0.691%，其中 Zone1 431 个、Zone2 313 个、Zone3 342 个；采用时间线性插值替换，不删除任何记录。</w:t>
      </w:r>
    </w:p>
    <w:p w14:paraId="6E4CC9F9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2　数据清洗策略与结果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195"/>
        <w:gridCol w:w="2494"/>
      </w:tblGrid>
      <w:tr w:rsidR="007A1D2E" w14:paraId="62A05959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D57FD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处理项</w:t>
            </w:r>
          </w:p>
        </w:tc>
        <w:tc>
          <w:tcPr>
            <w:tcW w:w="4195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552D9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采用方法</w:t>
            </w:r>
          </w:p>
        </w:tc>
        <w:tc>
          <w:tcPr>
            <w:tcW w:w="249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31242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结果</w:t>
            </w:r>
          </w:p>
        </w:tc>
      </w:tr>
      <w:tr w:rsidR="007A1D2E" w14:paraId="2F0533E0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09069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时间索引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00E74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DateTime 解析、排序、设为 10 分钟索引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B4A40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52,416 条，无重复、无缺口</w:t>
            </w:r>
          </w:p>
        </w:tc>
      </w:tr>
      <w:tr w:rsidR="007A1D2E" w14:paraId="0813007C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3ECF7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字段命名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C6C2B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统一 snake_case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2860B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10 列（含派生总负荷），消除双空格</w:t>
            </w:r>
          </w:p>
        </w:tc>
      </w:tr>
      <w:tr w:rsidR="007A1D2E" w14:paraId="7C58BC5F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064AC5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缺失值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6F4A78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诊断后分级插值（未触发）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8D4C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 处</w:t>
            </w:r>
          </w:p>
        </w:tc>
      </w:tr>
      <w:tr w:rsidR="007A1D2E" w14:paraId="3EDC491D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F8B09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负荷负值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5C24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物理范围检查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B91F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 处</w:t>
            </w:r>
          </w:p>
        </w:tc>
      </w:tr>
      <w:tr w:rsidR="007A1D2E" w14:paraId="694C9152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DABD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负荷尖峰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6037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局部线性残差 + 孤立性 + 稳健 MAD×4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FB41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1,086 点，占 0.691%，插值替换</w:t>
            </w:r>
          </w:p>
        </w:tc>
      </w:tr>
      <w:tr w:rsidR="007A1D2E" w14:paraId="1739A97F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FF51E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气象变量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1B632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仅物理范围检查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8A90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不做阈值替换</w:t>
            </w:r>
          </w:p>
        </w:tc>
      </w:tr>
      <w:tr w:rsidR="007A1D2E" w14:paraId="75CFEF29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281DD8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Zone3 结构下降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D9D7F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保留，标记为业务结构变化</w:t>
            </w:r>
          </w:p>
        </w:tc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5FC330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不按离群点抹平</w:t>
            </w:r>
          </w:p>
        </w:tc>
      </w:tr>
    </w:tbl>
    <w:p w14:paraId="4516F94C" w14:textId="77777777" w:rsidR="007A1D2E" w:rsidRDefault="007A1D2E">
      <w:pPr>
        <w:widowControl/>
        <w:spacing w:after="40"/>
      </w:pPr>
    </w:p>
    <w:p w14:paraId="1D66A6C3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清洗前后均值变化很小：Zone1 从 32,345.0 kW 变为 32,346.4 kW，Zone2 从 21,042.5 kW 变为 21,042.3 kW，Zone3 从 17,835.4 kW 变为 17,835.9 kW；标准差分别下降约 1.9、1.1、1.1 kW。说明处理只修正了局部尖峰，没有改变整体分布。Zone3 在 8—12 月的总体下行（11 月小幅回升）不是孤立尖峰，清洗阶段没有把它当作异常抹平，而是在第 5 节作为结构变化单独讨论。</w:t>
      </w:r>
    </w:p>
    <w:p w14:paraId="06184BA1" w14:textId="77777777" w:rsidR="007A1D2E" w:rsidRDefault="00301F2E">
      <w:pPr>
        <w:pStyle w:val="1"/>
        <w:keepLines/>
        <w:widowControl/>
        <w:spacing w:after="40" w:line="324" w:lineRule="auto"/>
      </w:pPr>
      <w:bookmarkStart w:id="7" w:name="_Toc244208954"/>
      <w:r>
        <w:t>4. 负荷的时间规律</w:t>
      </w:r>
      <w:bookmarkEnd w:id="7"/>
    </w:p>
    <w:p w14:paraId="6D1A0939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8" w:name="_Toc244208955"/>
      <w:r>
        <w:t>4.1 日内规律</w:t>
      </w:r>
      <w:bookmarkEnd w:id="8"/>
    </w:p>
    <w:p w14:paraId="1AE0B038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把 364 天的观测按小时取平均，得到典型日曲线（图 1）。总负荷在 06:00 左右降至全天最低，约 50,194 kW；随后持续爬升，12—14 时稳定在约 75,000—76,000 kW，15 时约 73,800 kW，形成午间平台；18 时后再次抬升，20:00 达到全天峰值，约 98,041 kW；之后逐步回落。峰谷比为 1.953。</w:t>
      </w:r>
    </w:p>
    <w:p w14:paraId="38D50606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51932C5A" wp14:editId="1619698A">
            <wp:extent cx="5328000" cy="2571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A_daily_prof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810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1　日内负荷曲线（2017 年可观测样本按小时平均）</w:t>
      </w:r>
    </w:p>
    <w:p w14:paraId="54F1CD61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三个分区的峰谷时刻基本同步。Zone1 和 Zone2 都在 20:00 达峰、06:00 见谷，Zone3 同样在 20:00 达峰，但谷值出现在 07:00。这说明全城用电节奏一致，分区差异主要体现在幅度和波动性；总体形态为午间平台叠加晚间主峰，而不是两个孤立的主峰。</w:t>
      </w:r>
    </w:p>
    <w:p w14:paraId="5B60EDD5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lastRenderedPageBreak/>
        <w:t>表 3　日内峰谷时刻与幅度</w:t>
      </w:r>
    </w:p>
    <w:tbl>
      <w:tblPr>
        <w:tblW w:w="850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1644"/>
        <w:gridCol w:w="1361"/>
        <w:gridCol w:w="1644"/>
        <w:gridCol w:w="1134"/>
      </w:tblGrid>
      <w:tr w:rsidR="007A1D2E" w14:paraId="784F7DD2" w14:textId="77777777">
        <w:trPr>
          <w:cantSplit/>
          <w:tblHeader/>
          <w:jc w:val="center"/>
        </w:trPr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0FE4A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口径</w:t>
            </w:r>
          </w:p>
        </w:tc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824AA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峰值时刻</w:t>
            </w:r>
          </w:p>
        </w:tc>
        <w:tc>
          <w:tcPr>
            <w:tcW w:w="164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23680C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峰值（kW）</w:t>
            </w:r>
          </w:p>
        </w:tc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B697A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谷值时刻</w:t>
            </w:r>
          </w:p>
        </w:tc>
        <w:tc>
          <w:tcPr>
            <w:tcW w:w="164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A545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谷值（kW）</w:t>
            </w:r>
          </w:p>
        </w:tc>
        <w:tc>
          <w:tcPr>
            <w:tcW w:w="113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B2AACF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峰谷比</w:t>
            </w:r>
          </w:p>
        </w:tc>
      </w:tr>
      <w:tr w:rsidR="007A1D2E" w14:paraId="21FB9FC6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ACB17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总负荷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DF71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20:00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ADF180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98,041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16669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06:00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6A4CF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50,194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17ED69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1.953</w:t>
            </w:r>
          </w:p>
        </w:tc>
      </w:tr>
      <w:tr w:rsidR="007A1D2E" w14:paraId="23272CB1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2D4579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Zone1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CF04E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20:00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FCED5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43,825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2AC68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06:00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EF64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23,205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B7F8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1.889</w:t>
            </w:r>
          </w:p>
        </w:tc>
      </w:tr>
      <w:tr w:rsidR="007A1D2E" w14:paraId="3420BD29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EA37F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Zone2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14137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20:00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FAFF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28,187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6DD65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06:00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5ACD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14,935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85768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1.887</w:t>
            </w:r>
          </w:p>
        </w:tc>
      </w:tr>
      <w:tr w:rsidR="007A1D2E" w14:paraId="2B91D29A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0596A6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Zone3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14674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20:00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8BC6B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26,029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50F40A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07:00</w:t>
            </w:r>
          </w:p>
        </w:tc>
        <w:tc>
          <w:tcPr>
            <w:tcW w:w="16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F130E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11,671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7AC2D9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2.230</w:t>
            </w:r>
          </w:p>
        </w:tc>
      </w:tr>
    </w:tbl>
    <w:p w14:paraId="14493AA2" w14:textId="77777777" w:rsidR="007A1D2E" w:rsidRDefault="007A1D2E">
      <w:pPr>
        <w:widowControl/>
        <w:spacing w:after="40"/>
      </w:pPr>
    </w:p>
    <w:p w14:paraId="585B26C7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9" w:name="_Toc244208956"/>
      <w:r>
        <w:t>4.2 周内规律</w:t>
      </w:r>
      <w:bookmarkEnd w:id="9"/>
    </w:p>
    <w:p w14:paraId="3BEB7689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按星期几取平均后，工作日总负荷均值为 72,001 kW，周末为 69,283 kW，周末/工作日为 0.962，仅低 3.8%。周一至周五的均值在 71,348—72,533 kW 之间，周六为 70,852 kW，周日为 67,714 kW。由此可见，周末效应主要体现为周日回落，而不是整个周末大幅下降。</w:t>
      </w:r>
    </w:p>
    <w:p w14:paraId="532F423B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67F29BBC" wp14:editId="614D7BDF">
            <wp:extent cx="5328000" cy="231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B_weekly_pro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0D1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2　周内负荷规律与分区周末效应</w:t>
      </w:r>
    </w:p>
    <w:p w14:paraId="1CE82489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分区层面的差异比总量更明显。Zone2 的周末/工作日比值为 0.918，周末均值比工作日低 8.2%，是三个分区中对工作日作息最敏感的一个；Zone1 为 0.964，低 3.6%；Zone3 为 1.012，几乎不受周末影响。这一结果提示，周内调度不能只看总负荷，Zone2 的周末下降需要单独考虑。</w:t>
      </w:r>
    </w:p>
    <w:p w14:paraId="10CE50BF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0" w:name="_Toc244208957"/>
      <w:r>
        <w:t>4.3 季节规律</w:t>
      </w:r>
      <w:bookmarkEnd w:id="10"/>
    </w:p>
    <w:p w14:paraId="55FC72F9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按季度汇总，总负荷均值分别为春季 67,992 kW、夏季 83,290 kW、秋季 67,064 kW、冬季 66,349 kW。夏季比全年样本均值高 16.9%，比冬季高 25.5%；7 月最高（88,176 kW），</w:t>
      </w:r>
      <w:r>
        <w:rPr>
          <w:rFonts w:ascii="宋体" w:eastAsia="宋体" w:hAnsi="宋体"/>
        </w:rPr>
        <w:lastRenderedPageBreak/>
        <w:t>12 月最低（63,752 kW）。冬季虽然最低，但仅比秋季低 1.1%、比春季低 2.5%，因此本数据呈“夏季单峰主导、其他三季接近”的形态，而不是“夏冬双峰”。</w:t>
      </w:r>
    </w:p>
    <w:p w14:paraId="50D38E27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74960E86" wp14:editId="3BB815D4">
            <wp:extent cx="5328000" cy="23182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C_seasonal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43E2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3　月度与季度负荷规律</w:t>
      </w:r>
    </w:p>
    <w:p w14:paraId="4E962D83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夏季负荷抬升与高温同期出现，提示降温负荷是重要因素。仅凭这份数据，不能把全部增量归因于空调，也不能据此判断冬季采暖方式；更稳妥的判断是夏季高温与负荷高峰同步，提示降温负荷有贡献，具体构成仍需结合产业和用户结构核实。</w:t>
      </w:r>
    </w:p>
    <w:p w14:paraId="725CD074" w14:textId="77777777" w:rsidR="007A1D2E" w:rsidRDefault="00301F2E">
      <w:pPr>
        <w:pStyle w:val="1"/>
        <w:keepLines/>
        <w:widowControl/>
        <w:spacing w:after="40" w:line="324" w:lineRule="auto"/>
      </w:pPr>
      <w:bookmarkStart w:id="11" w:name="_Toc244208958"/>
      <w:r>
        <w:t>5. 三个分区的用电特征</w:t>
      </w:r>
      <w:bookmarkEnd w:id="11"/>
    </w:p>
    <w:p w14:paraId="6DB5F87C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2" w:name="_Toc244208959"/>
      <w:r>
        <w:t>5.1 规模与占比</w:t>
      </w:r>
      <w:bookmarkEnd w:id="12"/>
    </w:p>
    <w:p w14:paraId="790AA11C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Zone1 平均负荷 32,346 kW，占 45.4%；Zone2 为 21,042 kW，占 29.5%；Zone3 为 17,836 kW，占 25.0%。Zone1 的规模明显最大，是总负荷的主体；Zone2 和 Zone3 的规模接近，但两者的波动形态和结构变化并不相同。</w:t>
      </w:r>
    </w:p>
    <w:p w14:paraId="27D396F3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202A3644" wp14:editId="0E7096CA">
            <wp:extent cx="5328000" cy="2368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D_zone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B1C7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4　三分区负荷分布对比</w:t>
      </w:r>
    </w:p>
    <w:p w14:paraId="2E7B26C4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0556CD2" wp14:editId="383C78ED">
            <wp:extent cx="5328000" cy="2209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E_zone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0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044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5　三分区规模与波动性对比</w:t>
      </w:r>
    </w:p>
    <w:p w14:paraId="7E3029FB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3" w:name="_Toc244208960"/>
      <w:r>
        <w:t>5.2 波动性与峰谷差异</w:t>
      </w:r>
      <w:bookmarkEnd w:id="13"/>
    </w:p>
    <w:p w14:paraId="18C774C0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从变异系数看，Zone1 为 0.220、Zone2 为 0.247、Zone3 为 0.371；从峰谷比看，Zone1 和 Zone2 均为 1.89，Zone3 为 2.23。Zone1 基数最大但波动最小，Zone3 基数最小但波动最大，是调度需要重点关注的尖峰风险区。</w:t>
      </w:r>
    </w:p>
    <w:p w14:paraId="36D6B940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4　三分区用电特征指标</w:t>
      </w:r>
    </w:p>
    <w:tbl>
      <w:tblPr>
        <w:tblW w:w="850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871"/>
        <w:gridCol w:w="1361"/>
        <w:gridCol w:w="1304"/>
        <w:gridCol w:w="1247"/>
        <w:gridCol w:w="1474"/>
      </w:tblGrid>
      <w:tr w:rsidR="007A1D2E" w14:paraId="23F69A68" w14:textId="77777777">
        <w:trPr>
          <w:cantSplit/>
          <w:tblHeader/>
          <w:jc w:val="center"/>
        </w:trPr>
        <w:tc>
          <w:tcPr>
            <w:tcW w:w="124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8D9B5F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分区</w:t>
            </w:r>
          </w:p>
        </w:tc>
        <w:tc>
          <w:tcPr>
            <w:tcW w:w="187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E8485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平均负荷（kW）</w:t>
            </w:r>
          </w:p>
        </w:tc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EC992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占比（%）</w:t>
            </w:r>
          </w:p>
        </w:tc>
        <w:tc>
          <w:tcPr>
            <w:tcW w:w="130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7A50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变异系数</w:t>
            </w:r>
          </w:p>
        </w:tc>
        <w:tc>
          <w:tcPr>
            <w:tcW w:w="124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53DAB6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峰谷比</w:t>
            </w:r>
          </w:p>
        </w:tc>
        <w:tc>
          <w:tcPr>
            <w:tcW w:w="147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A3CA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周末/工作日</w:t>
            </w:r>
          </w:p>
        </w:tc>
      </w:tr>
      <w:tr w:rsidR="007A1D2E" w14:paraId="1FBD18ED" w14:textId="77777777">
        <w:trPr>
          <w:cantSplit/>
          <w:jc w:val="center"/>
        </w:trPr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E4E4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Zone1</w:t>
            </w:r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E43C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32,346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5BDDE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45.4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5D876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0.220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FED4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1.889</w:t>
            </w:r>
          </w:p>
        </w:tc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FAB59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0.964</w:t>
            </w:r>
          </w:p>
        </w:tc>
      </w:tr>
      <w:tr w:rsidR="007A1D2E" w14:paraId="5A0586C5" w14:textId="77777777">
        <w:trPr>
          <w:cantSplit/>
          <w:jc w:val="center"/>
        </w:trPr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1FA4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Zone2</w:t>
            </w:r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BC51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21,042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490C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29.5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40CAF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0.247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76FA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1.887</w:t>
            </w:r>
          </w:p>
        </w:tc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42A6C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0.918</w:t>
            </w:r>
          </w:p>
        </w:tc>
      </w:tr>
      <w:tr w:rsidR="007A1D2E" w14:paraId="227810DD" w14:textId="77777777">
        <w:trPr>
          <w:cantSplit/>
          <w:jc w:val="center"/>
        </w:trPr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02948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Zone3</w:t>
            </w:r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0C7059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17,836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EBADB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25.0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934A10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0.371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D0DDF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2.230</w:t>
            </w:r>
          </w:p>
        </w:tc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9F77A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1.012</w:t>
            </w:r>
          </w:p>
        </w:tc>
      </w:tr>
    </w:tbl>
    <w:p w14:paraId="732BA667" w14:textId="77777777" w:rsidR="007A1D2E" w:rsidRDefault="007A1D2E">
      <w:pPr>
        <w:widowControl/>
        <w:spacing w:after="40"/>
      </w:pPr>
    </w:p>
    <w:p w14:paraId="6C9BBF7E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三个分区负荷高度同向变化，相关系数分别为 Zone1—Zone2 0.835、Zone1—Zone3 0.751、Zone2—Zone3 0.571。全城用电节奏一致，但幅度、波动和周末敏感性不同，调度上应对 Zone3 的尖峰和 Zone2 的周末回落分别制定策略。</w:t>
      </w:r>
    </w:p>
    <w:p w14:paraId="2E0E2B34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4" w:name="_Toc244208961"/>
      <w:r>
        <w:t>5.3 Zone3 的结构变化</w:t>
      </w:r>
      <w:bookmarkEnd w:id="14"/>
    </w:p>
    <w:p w14:paraId="709C290D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Zone3/Zone1 的月度比值在 7 月达到 0.787，9 月降至 0.447，12 月降至 0.381，7—12 月下降约 51.6%。这一变化不是单点尖峰，而是从 8 月到 12 月总体下行，其中 11 月小幅回升，因此清洗阶段没有把它当作离群点插值。现有字段无法判断原因，只能提示可能与 Zone3 大用户生产调整有关，需结合业务信息核实。</w:t>
      </w:r>
    </w:p>
    <w:p w14:paraId="31DFDCA6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F7DE43" wp14:editId="7A1672B9">
            <wp:extent cx="5328000" cy="2391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F_zone3_rat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88C5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6　Zone3 相对 Zone1 的月度比值</w:t>
      </w:r>
    </w:p>
    <w:p w14:paraId="1F2BDDD0" w14:textId="77777777" w:rsidR="007A1D2E" w:rsidRDefault="00301F2E">
      <w:pPr>
        <w:pStyle w:val="1"/>
        <w:keepLines/>
        <w:widowControl/>
        <w:spacing w:after="40" w:line="324" w:lineRule="auto"/>
      </w:pPr>
      <w:bookmarkStart w:id="15" w:name="_Toc244208962"/>
      <w:r>
        <w:t>6. 气象相关性与短期预测</w:t>
      </w:r>
      <w:bookmarkEnd w:id="15"/>
    </w:p>
    <w:p w14:paraId="70E92BEF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6" w:name="_Toc244208963"/>
      <w:r>
        <w:t>6.1 全样本相关性</w:t>
      </w:r>
      <w:bookmarkEnd w:id="16"/>
    </w:p>
    <w:p w14:paraId="3C475295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对五个气象变量与总负荷、三个分区负荷计算 Pearson 相关系数，并用 Spearman 相关做稳健性对照。温度与总负荷的 Pearson r 为 0.488，是五个气象变量中最强的；湿度为 -0.299，风速为 0.222；general diffuse flows 和 diffuse flows 分别为 0.150 和 0.032。Spearman 下温度 0.469、湿度 -0.306，方向与 Pearson 一致；但风速由 0.222 降至 0.107、一般散射辐照由 0.150 升至 0.227，说明这两个变量的关联更依赖度量方式，解释时宜更谨慎。</w:t>
      </w:r>
    </w:p>
    <w:p w14:paraId="1737E131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A3C20DD" wp14:editId="7FC5A036">
            <wp:extent cx="4392000" cy="34301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G_cor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4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DE14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7　全样本气象—负荷相关系数热力图</w:t>
      </w:r>
    </w:p>
    <w:p w14:paraId="494297D5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5　气象变量与负荷的 Pearson 相关系数</w:t>
      </w:r>
    </w:p>
    <w:tbl>
      <w:tblPr>
        <w:tblW w:w="850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7"/>
        <w:gridCol w:w="1417"/>
        <w:gridCol w:w="1417"/>
        <w:gridCol w:w="1417"/>
        <w:gridCol w:w="1417"/>
      </w:tblGrid>
      <w:tr w:rsidR="007A1D2E" w14:paraId="6CEDC881" w14:textId="77777777">
        <w:trPr>
          <w:cantSplit/>
          <w:tblHeader/>
          <w:jc w:val="center"/>
        </w:trPr>
        <w:tc>
          <w:tcPr>
            <w:tcW w:w="2835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795C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气象变量</w:t>
            </w:r>
          </w:p>
        </w:tc>
        <w:tc>
          <w:tcPr>
            <w:tcW w:w="141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AC7FD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总负荷</w:t>
            </w:r>
          </w:p>
        </w:tc>
        <w:tc>
          <w:tcPr>
            <w:tcW w:w="141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7320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Zone1</w:t>
            </w:r>
          </w:p>
        </w:tc>
        <w:tc>
          <w:tcPr>
            <w:tcW w:w="141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F790A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Zone2</w:t>
            </w:r>
          </w:p>
        </w:tc>
        <w:tc>
          <w:tcPr>
            <w:tcW w:w="141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573F2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Zone3</w:t>
            </w:r>
          </w:p>
        </w:tc>
      </w:tr>
      <w:tr w:rsidR="007A1D2E" w14:paraId="058E5C71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1E28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温度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CCB4B5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0.488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3D3EE0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0.440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A1D6E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0.382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BEAA0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0.490</w:t>
            </w:r>
          </w:p>
        </w:tc>
      </w:tr>
      <w:tr w:rsidR="007A1D2E" w14:paraId="7B47C9A9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7CFDF8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湿度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27DF4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-0.299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AE3608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-0.287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BBF6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-0.295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B8F5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-0.233</w:t>
            </w:r>
          </w:p>
        </w:tc>
      </w:tr>
      <w:tr w:rsidR="007A1D2E" w14:paraId="755B08F7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10415F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风速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89F6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0.222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8B7C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0.168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EC99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0.147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79B67F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0.279</w:t>
            </w:r>
          </w:p>
        </w:tc>
      </w:tr>
      <w:tr w:rsidR="007A1D2E" w14:paraId="0591C8E2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3DBF9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general diffuse flows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ABD3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0.150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8E38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0.188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EA7DC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0.157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A84B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0.063</w:t>
            </w:r>
          </w:p>
        </w:tc>
      </w:tr>
      <w:tr w:rsidR="007A1D2E" w14:paraId="425EF068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D43143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diffuse flows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72A2CC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0.032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C1C37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0.080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334FB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0.045</w:t>
            </w:r>
          </w:p>
        </w:tc>
        <w:tc>
          <w:tcPr>
            <w:tcW w:w="141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847A92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-0.038</w:t>
            </w:r>
          </w:p>
        </w:tc>
      </w:tr>
    </w:tbl>
    <w:p w14:paraId="4F39968E" w14:textId="77777777" w:rsidR="007A1D2E" w:rsidRDefault="007A1D2E">
      <w:pPr>
        <w:widowControl/>
        <w:spacing w:after="40"/>
      </w:pPr>
    </w:p>
    <w:p w14:paraId="6F519814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相关不等于因果。温度与负荷同向变化，可以说明高温时段负荷通常较高，但不能直接给出“温度每升高 1℃ 负荷增加多少”的结论；湿度和风速的相关也可能混入季节、天气过程和节假日的影响。若要量化边际效应，需要依赖第 6.3 节的回归模型，并报告模型设定和评估结果。</w:t>
      </w:r>
    </w:p>
    <w:p w14:paraId="284436F2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7" w:name="_Toc244208964"/>
      <w:r>
        <w:t>6.2 相关性的季节与时段差异</w:t>
      </w:r>
      <w:bookmarkEnd w:id="17"/>
    </w:p>
    <w:p w14:paraId="5BFCA92B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按月计算温度与总负荷的相关，12 个月全部为正，最低为 6 月的 0.194，最高为 7 月的 0.509；夏季三个月度相关系数的平均为 0.384，冬季为 0.307。因此，温度效应在月度尺度上方向稳定为正，但强度随季节变化，7 月最强、6 月最弱。</w:t>
      </w:r>
    </w:p>
    <w:p w14:paraId="06F2CCDD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A04754" wp14:editId="2EDD4A57">
            <wp:extent cx="5112000" cy="22722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H_temp_corr_by_mon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DF87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8　温度与负荷相关系数的月份变化</w:t>
      </w:r>
    </w:p>
    <w:p w14:paraId="2EF0FC16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进一步把每个月拆成 24 个小时，288 个“月×小时”切片中有 112 个为负相关。最强正相关出现在 7 月 09:00（约 0.55），最强负相关出现在 5 月 15:00（约 -0.46）。这说明温度效应在日内并不均匀，局部负相关可能来自天气过程、节假日、生产安排或空调使用时段变化，不能简单解释为“冬季采暖导致低温高负荷”。</w:t>
      </w:r>
    </w:p>
    <w:p w14:paraId="6E039AC0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7A79C9DD" wp14:editId="2D421075">
            <wp:extent cx="5112000" cy="24698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I_temp_corr_month_hou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B1E3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9　温度—负荷相关系数的月×小时结构</w:t>
      </w:r>
    </w:p>
    <w:p w14:paraId="1B3907F1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对建模的含义是：温度效应应允许随月份和小时变化。如果只放一个全局温度系数，容易把不同时段的正负关系平均掉；可考虑加入月份×温度、小时×温度交互项，或采用分季节模型。</w:t>
      </w:r>
    </w:p>
    <w:p w14:paraId="75F25E0C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18" w:name="_Toc244208965"/>
      <w:r>
        <w:t>6.3 短期负荷预测模型与评估</w:t>
      </w:r>
      <w:bookmarkEnd w:id="18"/>
    </w:p>
    <w:p w14:paraId="6E0EE6B8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 xml:space="preserve">短期预测采用日前口径：预测某一时刻的负荷时，只使用提前至少 1 天可获得的观测，所有负荷类特征均滞后 144 个采样点（1 天）或更早。数据按时间顺序切分，2017 年 1 月 </w:t>
      </w:r>
      <w:r>
        <w:rPr>
          <w:rFonts w:ascii="宋体" w:eastAsia="宋体" w:hAnsi="宋体"/>
        </w:rPr>
        <w:lastRenderedPageBreak/>
        <w:t>8 日至 10 月 31 日为训练集（42,625 条），11 月 1 日至 12 月 30 日为测试集（8,640 条）。两者合计 51,265 条，比清洗后的 52,416 条少 1,151 条：这部分是 2017 年 1 月 1—7 日的预热期，一周滞后特征与滚动统计需要至少 7 天历史，该段无法构造完整特征，因此不参与训练和评估，也不存在跨期信息泄漏。特征共 22 个，包括时刻、星期、月份、是否周末、周期三角编码、前一日与前一周同时刻负荷、历史滚动统计，以及温度、湿度、风速和两类辐照指标。气象变量使用实测值，属于理想化假设；真实调度只能使用数值天气预报，实际精度会更低。</w:t>
      </w:r>
    </w:p>
    <w:p w14:paraId="4CB6247E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模型对比包括持续性基线、线性回归和随机森林。持续性基线直接把前一日同时刻负荷作为预测值；线性回归作为可解释基线；随机森林用于捕捉非线性和特征交互，设置 100 棵树、最大深度 16、叶节点最少 4 个样本。评估使用测试集 MSE、RMSE、MAE、R² 与 MAPE，并分别检查总负荷和三个分区的误差，避免用训练集指标替代测试集结果。</w:t>
      </w:r>
    </w:p>
    <w:p w14:paraId="02A2D529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6　短期预测的建模方案与评估设计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2041"/>
      </w:tblGrid>
      <w:tr w:rsidR="007A1D2E" w14:paraId="30D8B28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D84223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环节</w:t>
            </w:r>
          </w:p>
        </w:tc>
        <w:tc>
          <w:tcPr>
            <w:tcW w:w="4649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E140D" w14:textId="77777777" w:rsidR="007A1D2E" w:rsidRDefault="00301F2E">
            <w:pPr>
              <w:keepNext/>
              <w:spacing w:after="0"/>
              <w:jc w:val="left"/>
            </w:pPr>
            <w:r>
              <w:rPr>
                <w:rFonts w:ascii="宋体" w:eastAsia="宋体" w:hAnsi="宋体"/>
                <w:b/>
                <w:sz w:val="17"/>
              </w:rPr>
              <w:t>设计</w:t>
            </w:r>
          </w:p>
        </w:tc>
        <w:tc>
          <w:tcPr>
            <w:tcW w:w="204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0437A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目的</w:t>
            </w:r>
          </w:p>
        </w:tc>
      </w:tr>
      <w:tr w:rsidR="007A1D2E" w14:paraId="0A4E4EDA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6A8B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数据切分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C4022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按时间顺序，2017-01-08 至 10-31 训练（42,625 条），11-01 至 12-30 测试（8,640 条）；1 月 1—7 日 1,151 条为预热期，不参与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33B1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防止时间泄漏</w:t>
            </w:r>
          </w:p>
        </w:tc>
      </w:tr>
      <w:tr w:rsidR="007A1D2E" w14:paraId="79F81126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3B9E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时间特征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0331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小时、星期、月份、是否周末、周期三角编码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65584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刻画日、周、季节规律</w:t>
            </w:r>
          </w:p>
        </w:tc>
      </w:tr>
      <w:tr w:rsidR="007A1D2E" w14:paraId="1D17666E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6E71A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气象特征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C9381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温度、湿度、风速、两类辐照指标（实测值）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3AB8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刻画气象敏感负荷</w:t>
            </w:r>
          </w:p>
        </w:tc>
      </w:tr>
      <w:tr w:rsidR="007A1D2E" w14:paraId="3FC01A9F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C1597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滞后特征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1D2FF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前一日/前一周同时刻负荷、滚动均值与标准差（滞后 ≥144 点）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582CE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日前口径下利用历史负荷</w:t>
            </w:r>
          </w:p>
        </w:tc>
      </w:tr>
      <w:tr w:rsidR="007A1D2E" w14:paraId="65A668D5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CA2B24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基线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5D4B4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持续性基线（前一日同时刻负荷）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1DC1F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检验模型是否真正改进</w:t>
            </w:r>
          </w:p>
        </w:tc>
      </w:tr>
      <w:tr w:rsidR="007A1D2E" w14:paraId="3BB35132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10A040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模型一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08E2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线性回归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AD613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可解释基线</w:t>
            </w:r>
          </w:p>
        </w:tc>
      </w:tr>
      <w:tr w:rsidR="007A1D2E" w14:paraId="706D9D77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ED124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模型二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A3416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随机森林回归（100 棵树，深度 16）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DCF9F3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捕捉非线性和交互</w:t>
            </w:r>
          </w:p>
        </w:tc>
      </w:tr>
      <w:tr w:rsidR="007A1D2E" w14:paraId="72937CEB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ED54B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评估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8969D9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MSE、RMSE、MAE、R²、MAPE；预测—实际曲线；分区分月误差</w:t>
            </w:r>
          </w:p>
        </w:tc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E8E3C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比较模型并检查误差结构</w:t>
            </w:r>
          </w:p>
        </w:tc>
      </w:tr>
    </w:tbl>
    <w:p w14:paraId="1F2C3D95" w14:textId="77777777" w:rsidR="007A1D2E" w:rsidRDefault="007A1D2E">
      <w:pPr>
        <w:widowControl/>
        <w:spacing w:after="40"/>
      </w:pPr>
    </w:p>
    <w:p w14:paraId="7F433A7E" w14:textId="77777777" w:rsidR="007A1D2E" w:rsidRDefault="00301F2E">
      <w:pPr>
        <w:keepLines/>
        <w:widowControl/>
        <w:spacing w:after="40" w:line="324" w:lineRule="auto"/>
        <w:ind w:firstLine="420"/>
      </w:pPr>
      <w:r>
        <w:rPr>
          <w:rFonts w:ascii="宋体" w:eastAsia="宋体" w:hAnsi="宋体"/>
        </w:rPr>
        <w:t>测试集结果见表 7。总负荷上，随机森林的 RMSE 为 2,301.7 kW、R² 为 0.9738、MAPE 为 2.64%，在三种方法中最低；线性回归的 RMSE 为 2,429.0 kW、R² 为 0.9708；持续性基线为 3,228.6 kW、R² 为 0.9484。随机森林相对持续性基线将 RMSE 降低 28.7%，但相对线性回归只降低约 5.2%，说明非线性模型的增量收益有限，不能据此宣称随机森林具有压倒性优势。</w:t>
      </w:r>
    </w:p>
    <w:p w14:paraId="5127EAE9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lastRenderedPageBreak/>
        <w:t>表 7　测试集模型评估结果（总负荷）</w:t>
      </w:r>
    </w:p>
    <w:tbl>
      <w:tblPr>
        <w:tblW w:w="850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398"/>
        <w:gridCol w:w="1398"/>
        <w:gridCol w:w="1340"/>
        <w:gridCol w:w="1224"/>
        <w:gridCol w:w="1165"/>
      </w:tblGrid>
      <w:tr w:rsidR="007A1D2E" w14:paraId="59421BA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BBF4B" w14:textId="77777777" w:rsidR="007A1D2E" w:rsidRDefault="00301F2E">
            <w:pPr>
              <w:keepNext/>
              <w:spacing w:after="0"/>
              <w:jc w:val="left"/>
            </w:pPr>
            <w:r>
              <w:rPr>
                <w:rFonts w:ascii="宋体" w:eastAsia="宋体" w:hAnsi="宋体"/>
                <w:b/>
                <w:sz w:val="17"/>
              </w:rPr>
              <w:t>模型</w:t>
            </w:r>
          </w:p>
        </w:tc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66122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MSE（kW²）</w:t>
            </w:r>
          </w:p>
        </w:tc>
        <w:tc>
          <w:tcPr>
            <w:tcW w:w="136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93ABB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RMSE（kW）</w:t>
            </w:r>
          </w:p>
        </w:tc>
        <w:tc>
          <w:tcPr>
            <w:tcW w:w="130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EEE88E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MAE（kW）</w:t>
            </w:r>
          </w:p>
        </w:tc>
        <w:tc>
          <w:tcPr>
            <w:tcW w:w="1191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5C7A81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R²</w:t>
            </w:r>
          </w:p>
        </w:tc>
        <w:tc>
          <w:tcPr>
            <w:tcW w:w="1134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D4AEC8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7"/>
              </w:rPr>
              <w:t>MAPE（%）</w:t>
            </w:r>
          </w:p>
        </w:tc>
      </w:tr>
      <w:tr w:rsidR="007A1D2E" w14:paraId="2E3E9D3D" w14:textId="77777777"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CA0C6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持续性基线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0BF78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10,423,710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E3BE1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3,228.6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C060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2,120.3</w:t>
            </w:r>
          </w:p>
        </w:tc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F0D5FE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0.9484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4E772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3.40</w:t>
            </w:r>
          </w:p>
        </w:tc>
      </w:tr>
      <w:tr w:rsidR="007A1D2E" w14:paraId="342D0EB7" w14:textId="77777777"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3073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线性回归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8FC48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5,899,886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3498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2,429.0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394F36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1,795.1</w:t>
            </w:r>
          </w:p>
        </w:tc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08BC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0.9708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2038BB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2.89</w:t>
            </w:r>
          </w:p>
        </w:tc>
      </w:tr>
      <w:tr w:rsidR="007A1D2E" w14:paraId="014DB0CB" w14:textId="77777777"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9A3F79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7"/>
              </w:rPr>
              <w:t>随机森林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81D941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5,297,880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78535A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2,301.7</w:t>
            </w:r>
          </w:p>
        </w:tc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27B23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1,639.5</w:t>
            </w:r>
          </w:p>
        </w:tc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DAC695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0.9738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105F0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7"/>
              </w:rPr>
              <w:t>2.64</w:t>
            </w:r>
          </w:p>
        </w:tc>
      </w:tr>
    </w:tbl>
    <w:p w14:paraId="1C83FEBD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drawing>
          <wp:inline distT="0" distB="0" distL="0" distR="0" wp14:anchorId="219F321A" wp14:editId="7351E263">
            <wp:extent cx="5328000" cy="27053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pred_vs_ac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6BD6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10　测试期预测值与实际负荷对比</w:t>
      </w:r>
    </w:p>
    <w:p w14:paraId="6CC5A12E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分区结果并不支持“随机森林在所有分区都最好”的结论。Zone1 和 Zone2 的最优模型均为线性回归，RMSE 分别为 1,189.9 kW 和 1,141.1 kW，R² 分别为 0.9612 和 0.9581；Zone3 的最优模型是持续性基线，RMSE 为 1,281.1 kW、R² 为 0.8514，线性回归和随机森林的 RMSE 分别为 1,347.6 kW 和 1,365.1 kW。Zone3 在 8—12 月发生负荷结构变化，训练期与测试期的水平不一致，是复杂模型未取得优势的主要原因之一。</w:t>
      </w:r>
    </w:p>
    <w:p w14:paraId="74C55F40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特征重要性显示，lag_144 的重要性为 0.946，lag_1008 为 0.031，其余特征均低于 1%，前一日同时刻负荷是主导信息。消融实验进一步表明，仅使用时间与气象特征时，随机森林的 R² 为 0.924、RMSE 为 3,917.3 kW；加入 lag_144 后，R² 升至 0.9714、RMSE 降至 2,401.6 kW；使用全部 22 个特征时为 0.9738 和 2,301.7 kW。在线性回归的 S1 配置（仅时间与气象特征、不含任何滞后负荷）下，R² 为 -0.883，说明原始日期趋势在训练区间外推时会失效，实际建模应使用周期编码或限制外推。</w:t>
      </w:r>
    </w:p>
    <w:p w14:paraId="52E4144F" w14:textId="77777777" w:rsidR="007A1D2E" w:rsidRDefault="00301F2E">
      <w:pPr>
        <w:keepNext/>
        <w:keepLines/>
        <w:widowControl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766F317" wp14:editId="33888E66">
            <wp:extent cx="5328000" cy="1951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feature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F07F" w14:textId="77777777" w:rsidR="007A1D2E" w:rsidRDefault="00301F2E">
      <w:pPr>
        <w:widowControl/>
        <w:spacing w:before="60" w:after="40" w:line="324" w:lineRule="auto"/>
        <w:jc w:val="center"/>
      </w:pPr>
      <w:r>
        <w:rPr>
          <w:rFonts w:ascii="宋体" w:eastAsia="宋体" w:hAnsi="宋体"/>
          <w:color w:val="5A5A5A"/>
          <w:sz w:val="18"/>
        </w:rPr>
        <w:t>图 11　特征消融：历史负荷是主要增益来源</w:t>
      </w:r>
    </w:p>
    <w:p w14:paraId="0075EACB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测试期残差均值为 +639.2 kW，07:00 的平均偏差为 +1,667.2 kW，模型对冬季早高峰整体偏高。主要局限包括：气象使用实测值而非数值天气预报；日前口径依赖 lag_144，不能直接用于多日预测；测试期包含 Zone3 的结构变化；研究仅覆盖单一年份和单一城市。因此结果适合用于同城日前调度的可行性验证，不宜直接作为生产系统的精度承诺。</w:t>
      </w:r>
    </w:p>
    <w:p w14:paraId="46BD1921" w14:textId="77777777" w:rsidR="007A1D2E" w:rsidRDefault="00301F2E">
      <w:pPr>
        <w:pStyle w:val="1"/>
        <w:keepLines/>
        <w:widowControl/>
        <w:spacing w:after="40" w:line="324" w:lineRule="auto"/>
      </w:pPr>
      <w:bookmarkStart w:id="19" w:name="_Toc244208966"/>
      <w:r>
        <w:t>7. 总结与结论</w:t>
      </w:r>
      <w:bookmarkEnd w:id="19"/>
    </w:p>
    <w:p w14:paraId="5F79E758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本文基于 2017 年可观测的 364 天、52,416 条 10 分钟负荷与气象数据，完成了清洗、负荷规律分析、分区比较、气象相关性分析和日前短期负荷预测。主要结论如下。</w:t>
      </w:r>
    </w:p>
    <w:p w14:paraId="62AD16E6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第一，日内负荷呈“午间平台 + 晚间主峰”形态。06:00 左右为谷值，12—14 时形成午间平台，20:00 达到全天峰值，峰谷比约 1.95。三个分区的峰谷时刻基本同步，差异主要体现在幅度和波动性。</w:t>
      </w:r>
    </w:p>
    <w:p w14:paraId="25546008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第二，周末效应在总量上并不强。周末总负荷仅比工作日低 3.8%，但 Zone2 的周末降幅达到 8.2%，Zone3 基本持平。周内调度应关注分区差异，而不是只看总负荷。</w:t>
      </w:r>
    </w:p>
    <w:p w14:paraId="30F4CAA7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第三，负荷呈夏季单峰。夏季均值比全年高 16.9%，冬季最低但与春季、秋季接近。夏季高温与负荷高峰同步，提示降温负荷有贡献，但具体构成仍需结合产业和用户结构核实。</w:t>
      </w:r>
    </w:p>
    <w:p w14:paraId="3A0F47E7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第四，分区特征差异明显。Zone1 规模最大（占 45.4%），Zone3 波动最强（变异系数 0.371、峰谷比 2.23），Zone2 对工作日作息最敏感。Zone3/Zone1 的月度比值在 8—12 月总体下降，11 月小幅回升，属于结构性变化，不应按普通离群点抹平。</w:t>
      </w:r>
    </w:p>
    <w:p w14:paraId="77463D95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第五，温度是最主要的气象相关变量。温度与总负荷的 Pearson r 为 0.488，12 个月的相关方向均为正，但强度在 0.194—0.509 之间变化；月×小时切片中存在局部负相关，说明温度效应随季节和时段变化。相关分析不能替代因果识别。</w:t>
      </w:r>
    </w:p>
    <w:p w14:paraId="5CB58712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第六，日前短期负荷预测具有可用的短期精度。总负荷测试集上，随机森林的 RMSE 为 2,301.7 kW、R² 为 0.9738、MAPE 为 2.64%，优于线性回归和持续性基线；但相对线性回归</w:t>
      </w:r>
      <w:r>
        <w:rPr>
          <w:rFonts w:ascii="宋体" w:eastAsia="宋体" w:hAnsi="宋体"/>
        </w:rPr>
        <w:lastRenderedPageBreak/>
        <w:t>的 RMSE 仅降低约 5.2%，且分区最优模型并不一致：Zone1、Zone2 以线性回归更优，Zone3 以持续性基线更优。这说明结构变化下复杂模型并非处处占优。特征重要性方面，lag_144 约为 0.946，前一日同时刻负荷是主导信息。</w:t>
      </w:r>
    </w:p>
    <w:p w14:paraId="3B0BA6D0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基于以上结果，提出三点建议。其一，夏季高峰调度应结合温度预报提前安排，重点关注 12—14 时平台和 20:00 主峰。其二，对 Zone3 的尖峰和结构变化单独监测，核实大用户生产安排，并评估储能或需求响应的可行性。其三，周内调度应关注 Zone2 的周末回落，避免按总负荷的平均周末效应统一安排。</w:t>
      </w:r>
    </w:p>
    <w:p w14:paraId="490B5B45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本文的不足在于缺少节假日、分区用户类型和生产计划字段，无法进一步解释 Zone3 结构变化和局部负相关的成因；预测部分使用实测气象值，属于理想化假设。后续可在获得数值天气预报、节假日和大用户台账后，采用滚动重训练、分季节模型或带交互项的模型，提高实际调度场景下的稳定性。</w:t>
      </w:r>
    </w:p>
    <w:p w14:paraId="53B93A82" w14:textId="77777777" w:rsidR="007A1D2E" w:rsidRDefault="00301F2E">
      <w:pPr>
        <w:pStyle w:val="1"/>
        <w:keepLines/>
        <w:widowControl/>
        <w:spacing w:after="40" w:line="324" w:lineRule="auto"/>
      </w:pPr>
      <w:bookmarkStart w:id="20" w:name="_Toc244208967"/>
      <w:r>
        <w:t>8. 小组成员分工与个人承担</w:t>
      </w:r>
      <w:bookmarkEnd w:id="20"/>
    </w:p>
    <w:p w14:paraId="04068245" w14:textId="77777777" w:rsidR="007A1D2E" w:rsidRDefault="00301F2E">
      <w:pPr>
        <w:keepNext/>
        <w:widowControl/>
        <w:spacing w:after="40" w:line="324" w:lineRule="auto"/>
        <w:ind w:firstLine="420"/>
      </w:pPr>
      <w:r>
        <w:rPr>
          <w:rFonts w:ascii="宋体" w:eastAsia="宋体" w:hAnsi="宋体"/>
        </w:rPr>
        <w:t>表 8 按姓名列出三位成员在本次项目中的章节、模块和具体工作，分工内容与 Git 提交记录保持对应。</w:t>
      </w:r>
    </w:p>
    <w:p w14:paraId="08C039E8" w14:textId="77777777" w:rsidR="007A1D2E" w:rsidRDefault="00301F2E">
      <w:pPr>
        <w:keepNext/>
        <w:widowControl/>
        <w:spacing w:before="160" w:after="40" w:line="324" w:lineRule="auto"/>
        <w:jc w:val="center"/>
      </w:pPr>
      <w:r>
        <w:rPr>
          <w:rFonts w:ascii="宋体" w:eastAsia="宋体" w:hAnsi="宋体"/>
          <w:b/>
          <w:sz w:val="18"/>
        </w:rPr>
        <w:t>表 8　小组成员分工</w:t>
      </w:r>
    </w:p>
    <w:tbl>
      <w:tblPr>
        <w:tblW w:w="8505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907"/>
        <w:gridCol w:w="1760"/>
        <w:gridCol w:w="2528"/>
        <w:gridCol w:w="1860"/>
      </w:tblGrid>
      <w:tr w:rsidR="007A1D2E" w14:paraId="58FF13E3" w14:textId="77777777">
        <w:trPr>
          <w:cantSplit/>
          <w:tblHeader/>
          <w:jc w:val="center"/>
        </w:trPr>
        <w:tc>
          <w:tcPr>
            <w:tcW w:w="145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A2C88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成员</w:t>
            </w:r>
          </w:p>
        </w:tc>
        <w:tc>
          <w:tcPr>
            <w:tcW w:w="907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B408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学号</w:t>
            </w:r>
          </w:p>
        </w:tc>
        <w:tc>
          <w:tcPr>
            <w:tcW w:w="176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7AD85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承担章节 / 模块</w:t>
            </w:r>
          </w:p>
        </w:tc>
        <w:tc>
          <w:tcPr>
            <w:tcW w:w="2528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8BAC8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具体工作内容</w:t>
            </w:r>
          </w:p>
        </w:tc>
        <w:tc>
          <w:tcPr>
            <w:tcW w:w="186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260F9" w14:textId="77777777" w:rsidR="007A1D2E" w:rsidRDefault="00301F2E">
            <w:pPr>
              <w:keepNext/>
              <w:spacing w:after="0"/>
              <w:jc w:val="center"/>
            </w:pPr>
            <w:r>
              <w:rPr>
                <w:rFonts w:ascii="宋体" w:eastAsia="宋体" w:hAnsi="宋体"/>
                <w:b/>
                <w:sz w:val="16"/>
              </w:rPr>
              <w:t>Git 记录</w:t>
            </w:r>
          </w:p>
        </w:tc>
      </w:tr>
      <w:tr w:rsidR="007A1D2E" w14:paraId="08F4DD71" w14:textId="77777777">
        <w:trPr>
          <w:cantSplit/>
          <w:jc w:val="center"/>
        </w:trPr>
        <w:tc>
          <w:tcPr>
            <w:tcW w:w="1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AAC6B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沈成源（组长）</w:t>
            </w:r>
          </w:p>
        </w:tc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6B08D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6"/>
              </w:rPr>
              <w:t>25121625</w:t>
            </w:r>
          </w:p>
        </w:tc>
        <w:tc>
          <w:tcPr>
            <w:tcW w:w="17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FE90B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01、03；第 2、3、6.3 节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9BF9FA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数据清洗、异常值识别与插值；03 的日前特征工程、模型训练、测试集评估与误差分析</w:t>
            </w:r>
          </w:p>
        </w:tc>
        <w:tc>
          <w:tcPr>
            <w:tcW w:w="1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1C164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0f6ff57、0e88825、7faa304、fce7fb7、b492669</w:t>
            </w:r>
          </w:p>
        </w:tc>
      </w:tr>
      <w:tr w:rsidR="007A1D2E" w14:paraId="3D270AA7" w14:textId="77777777">
        <w:trPr>
          <w:cantSplit/>
          <w:jc w:val="center"/>
        </w:trPr>
        <w:tc>
          <w:tcPr>
            <w:tcW w:w="1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FEFCC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江玉婷</w:t>
            </w:r>
          </w:p>
        </w:tc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FF4459" w14:textId="77777777" w:rsidR="007A1D2E" w:rsidRDefault="00301F2E">
            <w:pPr>
              <w:keepNext/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6"/>
              </w:rPr>
              <w:t>25121639</w:t>
            </w:r>
          </w:p>
        </w:tc>
        <w:tc>
          <w:tcPr>
            <w:tcW w:w="17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DB8A4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02、04；第 1、4、5、6.1—6.2、7、8、9 节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128CB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日/周/季节规律分析、三分区对比、气象相关性分析、报告图 1—11（含 10—11 重绘）、报告统稿与格式</w:t>
            </w:r>
          </w:p>
        </w:tc>
        <w:tc>
          <w:tcPr>
            <w:tcW w:w="1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16DCF2" w14:textId="77777777" w:rsidR="007A1D2E" w:rsidRDefault="00301F2E">
            <w:pPr>
              <w:keepNext/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a4f05e2、d58ed9c、030b9de、62d8a52、6d5f369、9c097be、b67b0e3、f0f1d62</w:t>
            </w:r>
          </w:p>
        </w:tc>
      </w:tr>
      <w:tr w:rsidR="007A1D2E" w14:paraId="7ECDCDF1" w14:textId="77777777">
        <w:trPr>
          <w:cantSplit/>
          <w:jc w:val="center"/>
        </w:trPr>
        <w:tc>
          <w:tcPr>
            <w:tcW w:w="1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0813C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谭煜霖</w:t>
            </w:r>
          </w:p>
        </w:tc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FAA918" w14:textId="77777777" w:rsidR="007A1D2E" w:rsidRDefault="00301F2E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16"/>
              </w:rPr>
              <w:t>25121624</w:t>
            </w:r>
          </w:p>
        </w:tc>
        <w:tc>
          <w:tcPr>
            <w:tcW w:w="17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5F6CE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05；视频、PPT、仓库管理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A04B1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成品图重绘、5 分钟视频脚本与剪辑、PPT 制作、GitHub 仓库维护与提交记录核对</w:t>
            </w:r>
          </w:p>
        </w:tc>
        <w:tc>
          <w:tcPr>
            <w:tcW w:w="1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A2DB8F" w14:textId="77777777" w:rsidR="007A1D2E" w:rsidRDefault="00301F2E">
            <w:pPr>
              <w:spacing w:after="0" w:line="240" w:lineRule="auto"/>
              <w:jc w:val="left"/>
            </w:pPr>
            <w:r>
              <w:rPr>
                <w:rFonts w:ascii="宋体" w:eastAsia="宋体" w:hAnsi="宋体"/>
                <w:sz w:val="16"/>
              </w:rPr>
              <w:t>934b8a0、79b94cb、a23e944、00aaf3d、b41fe99</w:t>
            </w:r>
          </w:p>
        </w:tc>
      </w:tr>
    </w:tbl>
    <w:p w14:paraId="3862A451" w14:textId="77777777" w:rsidR="007A1D2E" w:rsidRDefault="007A1D2E">
      <w:pPr>
        <w:widowControl/>
        <w:spacing w:after="40"/>
      </w:pPr>
    </w:p>
    <w:p w14:paraId="3B468461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21" w:name="_Toc244208968"/>
      <w:r>
        <w:t>8.1 江玉婷：个人承担说明</w:t>
      </w:r>
      <w:bookmarkEnd w:id="21"/>
    </w:p>
    <w:p w14:paraId="1B51459F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本人江玉婷承担规律分析、分区对比、气象相关性分析和报告统稿。分析思路上，先核对数据口径和样本边界，再按小时、星期、月份和季节聚合，最后把总量结论拆到三个分区，避</w:t>
      </w:r>
      <w:r>
        <w:rPr>
          <w:rFonts w:ascii="宋体" w:eastAsia="宋体" w:hAnsi="宋体"/>
        </w:rPr>
        <w:lastRenderedPageBreak/>
        <w:t>免只用一条总负荷曲线概括全城。报告统稿时接入 03 的测试集指标，并统一第 4—7 章的数值与结论。</w:t>
      </w:r>
    </w:p>
    <w:p w14:paraId="17E8AA13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具体步骤包括：读取清洗后的数据并核对 52,416 条、364 天、10 分钟频率和零缺失；构建小时、星期、月份、季节特征；计算日、周、季节曲线及峰谷指标；计算分区均值、占比、变异系数、峰谷比、周末/工作日比值和分区相关；计算 Pearson 与 Spearman 相关，并按月、月×小时和季节拆解温度效应；将结果整理为可复核的 CSV 表和图表，并据此撰写报告。</w:t>
      </w:r>
    </w:p>
    <w:p w14:paraId="53D14F0D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过程中遇到的主要问题有三项。第一，初稿把日曲线写成“早晚双峰”，但实测 10:00 和 18:00 并非两个主峰，已按 06:00 谷值、12—14 时平台、20:00 峰值重写。第二，初稿把周末写成“显著低于工作日”，但总量只低 3.8%，已改为按分区说明 Zone2 的 8.2% 降幅。第三，初稿把温度相关写成“夏正冬负”，但 12 个月实际全部为正，已改为“方向为正、强度随季节和时段变化”，并补充月×小时矩阵中的 112/288 个负相关切片。解决方式是重新计算、保存中间表、把每条结论对应到图表或表格，并整份重跑 notebook 以保留输出。</w:t>
      </w:r>
    </w:p>
    <w:p w14:paraId="1FD28FC0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22" w:name="_Toc244208969"/>
      <w:r>
        <w:t>8.2 沈成源：个人承担说明</w:t>
      </w:r>
      <w:bookmarkEnd w:id="22"/>
    </w:p>
    <w:p w14:paraId="6BE16D0C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人沈成源（组长）承担数据清洗、预处理与短期负荷预测建模。分析思路上，先确认原始数据的时间范围、采样频率和字段含义，再把清洗后的序列作为下游唯一输入；建模时不追求随机打乱后的高分，而是按日前调度可获得的信息构造特征，并用持续性基线检验模型是否真正带来改进。</w:t>
      </w:r>
    </w:p>
    <w:p w14:paraId="42215D52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具体步骤包括：解析并统一时间索引和字段名，检查重复时间、采样缺口、缺失值、负负荷和气象变量范围；对负荷尖峰采用局部线性残差、孤立性和稳健 MAD 阈值联合识别，再用时间插值替换且不删除记录；按时间顺序切分训练集与测试集，构造小时、星期、月份、周末、周期编码、前一日与前一周同时刻负荷、滚动统计和气象特征；比较持续性基线、线性回归和随机森林，计算 MSE、RMSE、MAE、R² 与 MAPE，并检查总负荷和三个分区的误差、残差时段和特征消融。</w:t>
      </w:r>
    </w:p>
    <w:p w14:paraId="1505E54A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过程中遇到的主要问题有三项。第一，负荷本身具有很强的日周期和季节周期，直接用 3σ 或 IQR 容易把正常峰谷误判为异常，改为结合局部残差和稳健阈值的联合判定。第二，若使用 lag_1 等近端滞后会造成信息泄漏，因此把所有负荷特征限制为至少滞后 144 个采样点。第三，Zone3 在 8—12 月出现结构变化，训练期和测试期水平不一致，导致分区最优模型与总负荷不一致；处理方式是把分区结果单独报告，并保留持续性基线作为对照，同时提出滚动重训练等后续改进方向。</w:t>
      </w:r>
    </w:p>
    <w:p w14:paraId="1E39FAD6" w14:textId="77777777" w:rsidR="007A1D2E" w:rsidRDefault="00301F2E">
      <w:pPr>
        <w:pStyle w:val="2"/>
        <w:widowControl/>
        <w:spacing w:after="40" w:line="324" w:lineRule="auto"/>
        <w:rPr>
          <w:rFonts w:hint="eastAsia"/>
        </w:rPr>
      </w:pPr>
      <w:bookmarkStart w:id="23" w:name="_Toc244208970"/>
      <w:r>
        <w:lastRenderedPageBreak/>
        <w:t>8.3 谭煜霖：个人承担说明</w:t>
      </w:r>
      <w:bookmarkEnd w:id="23"/>
    </w:p>
    <w:p w14:paraId="3158AB00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本人谭煜霖承担成品图统一重绘、5 分钟汇报视频脚本与剪辑、PPT 制作和 GitHub 仓库维护。工作思路上，以 02、04、03 输出的图表和统计表为准，先统一图号、单位、配色和结论口径，再把分析内容压缩成适合课堂汇报的 5 分钟叙述。</w:t>
      </w:r>
    </w:p>
    <w:p w14:paraId="31A4EEE0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具体步骤包括：核对日、周、季节、分区和气象相关图的图号与数据来源；按报告图 1—图 11 的顺序整理成品图；根据 02、04、03 的结果更新视频脚本中的关键数字和模型结论；维护仓库目录、提交记录和交付文件命名。</w:t>
      </w:r>
    </w:p>
    <w:p w14:paraId="1F6CD2FB" w14:textId="77777777" w:rsidR="007A1D2E" w:rsidRDefault="00301F2E">
      <w:pPr>
        <w:widowControl/>
        <w:spacing w:after="40" w:line="324" w:lineRule="auto"/>
        <w:ind w:firstLine="420"/>
      </w:pPr>
      <w:r>
        <w:rPr>
          <w:rFonts w:ascii="宋体" w:eastAsia="宋体" w:hAnsi="宋体"/>
        </w:rPr>
        <w:t>过程中遇到的主要问题是早期图表和汇报稿存在图号、模型数量和日内形态表述不一致，例如模型数量只写成两种、把日曲线写成“早晚双峰”。解决方式是以 notebook 输出和 tables/ 中的统计表为准逐项复核，统一为“午间平台 + 晚间主峰”和“持续性基线、线性回归、随机森林”三种方法；目前脚本、图件、视频与 PPT 均已完成，并按课程要求提交。</w:t>
      </w:r>
    </w:p>
    <w:p w14:paraId="2CE6A53A" w14:textId="77777777" w:rsidR="007A1D2E" w:rsidRDefault="00301F2E">
      <w:pPr>
        <w:pStyle w:val="1"/>
        <w:keepLines/>
        <w:widowControl/>
        <w:spacing w:before="80" w:after="60" w:line="240" w:lineRule="auto"/>
      </w:pPr>
      <w:bookmarkStart w:id="24" w:name="_Toc244208971"/>
      <w:r>
        <w:t>9. 附录</w:t>
      </w:r>
      <w:bookmarkEnd w:id="24"/>
    </w:p>
    <w:p w14:paraId="275D64D5" w14:textId="77777777" w:rsidR="007A1D2E" w:rsidRDefault="00301F2E">
      <w:pPr>
        <w:pStyle w:val="2"/>
        <w:widowControl/>
        <w:spacing w:before="140" w:after="40" w:line="240" w:lineRule="auto"/>
        <w:rPr>
          <w:rFonts w:hint="eastAsia"/>
        </w:rPr>
      </w:pPr>
      <w:bookmarkStart w:id="25" w:name="_Toc244208972"/>
      <w:r>
        <w:t>9.1 代码仓库与运行顺序</w:t>
      </w:r>
      <w:bookmarkEnd w:id="25"/>
    </w:p>
    <w:p w14:paraId="44F21326" w14:textId="77777777" w:rsidR="007A1D2E" w:rsidRDefault="00301F2E">
      <w:pPr>
        <w:widowControl/>
        <w:spacing w:after="30" w:line="269" w:lineRule="auto"/>
        <w:ind w:firstLine="420"/>
      </w:pPr>
      <w:r>
        <w:rPr>
          <w:rFonts w:ascii="宋体" w:eastAsia="宋体" w:hAnsi="宋体"/>
        </w:rPr>
        <w:t>代码仓库：https://github.com/Lizhuiii/power-load-forecast-topic4</w:t>
      </w:r>
    </w:p>
    <w:p w14:paraId="15D5757E" w14:textId="77777777" w:rsidR="001E4797" w:rsidRDefault="000B4D2E">
      <w:pPr>
        <w:keepLines/>
        <w:widowControl/>
        <w:spacing w:after="10" w:line="259" w:lineRule="auto"/>
        <w:ind w:firstLine="420"/>
      </w:pPr>
      <w:r>
        <w:t>运行顺序：</w:t>
      </w:r>
    </w:p>
    <w:p w14:paraId="390930B3" w14:textId="77777777" w:rsidR="001E4797" w:rsidRDefault="000B4D2E">
      <w:pPr>
        <w:keepLines/>
        <w:widowControl/>
        <w:spacing w:after="10" w:line="259" w:lineRule="auto"/>
        <w:ind w:left="420"/>
      </w:pPr>
      <w:r>
        <w:rPr>
          <w:sz w:val="19"/>
        </w:rPr>
        <w:t xml:space="preserve">1. 01_data_cleaning.ipynb —— </w:t>
      </w:r>
      <w:r>
        <w:rPr>
          <w:sz w:val="19"/>
        </w:rPr>
        <w:t>清洗并导出</w:t>
      </w:r>
      <w:r>
        <w:rPr>
          <w:sz w:val="19"/>
        </w:rPr>
        <w:t xml:space="preserve"> data/processed/power_load_cleaned.csv</w:t>
      </w:r>
    </w:p>
    <w:p w14:paraId="309E1945" w14:textId="77777777" w:rsidR="001E4797" w:rsidRDefault="000B4D2E">
      <w:pPr>
        <w:widowControl/>
        <w:spacing w:after="10" w:line="259" w:lineRule="auto"/>
        <w:ind w:left="420"/>
      </w:pPr>
      <w:r>
        <w:rPr>
          <w:sz w:val="19"/>
        </w:rPr>
        <w:t xml:space="preserve">2. 02_load_patterns.ipynb —— </w:t>
      </w:r>
      <w:r>
        <w:rPr>
          <w:sz w:val="19"/>
        </w:rPr>
        <w:t>日</w:t>
      </w:r>
      <w:r>
        <w:rPr>
          <w:sz w:val="19"/>
        </w:rPr>
        <w:t>/</w:t>
      </w:r>
      <w:r>
        <w:rPr>
          <w:sz w:val="19"/>
        </w:rPr>
        <w:t>周</w:t>
      </w:r>
      <w:r>
        <w:rPr>
          <w:sz w:val="19"/>
        </w:rPr>
        <w:t>/</w:t>
      </w:r>
      <w:r>
        <w:rPr>
          <w:sz w:val="19"/>
        </w:rPr>
        <w:t>季节规律与三分区对比</w:t>
      </w:r>
    </w:p>
    <w:p w14:paraId="3C3C4887" w14:textId="77777777" w:rsidR="001E4797" w:rsidRDefault="000B4D2E">
      <w:pPr>
        <w:widowControl/>
        <w:spacing w:after="10" w:line="259" w:lineRule="auto"/>
        <w:ind w:left="420"/>
      </w:pPr>
      <w:r>
        <w:rPr>
          <w:sz w:val="19"/>
        </w:rPr>
        <w:t xml:space="preserve">3. 04_weather_correlation.ipynb —— </w:t>
      </w:r>
      <w:r>
        <w:rPr>
          <w:sz w:val="19"/>
        </w:rPr>
        <w:t>气象</w:t>
      </w:r>
      <w:r>
        <w:rPr>
          <w:sz w:val="19"/>
        </w:rPr>
        <w:t>—</w:t>
      </w:r>
      <w:r>
        <w:rPr>
          <w:sz w:val="19"/>
        </w:rPr>
        <w:t>负荷相关性与热力图</w:t>
      </w:r>
    </w:p>
    <w:p w14:paraId="6FB7426D" w14:textId="77777777" w:rsidR="001E4797" w:rsidRDefault="000B4D2E">
      <w:pPr>
        <w:widowControl/>
        <w:spacing w:after="10" w:line="259" w:lineRule="auto"/>
        <w:ind w:left="420"/>
      </w:pPr>
      <w:r>
        <w:rPr>
          <w:sz w:val="19"/>
        </w:rPr>
        <w:t xml:space="preserve">4. 03_forecast_model.ipynb —— </w:t>
      </w:r>
      <w:r>
        <w:rPr>
          <w:sz w:val="19"/>
        </w:rPr>
        <w:t>持续性基线、线性回归与随机森林建模评估</w:t>
      </w:r>
    </w:p>
    <w:p w14:paraId="647C3234" w14:textId="77777777" w:rsidR="001E4797" w:rsidRDefault="000B4D2E">
      <w:pPr>
        <w:widowControl/>
        <w:spacing w:after="10" w:line="259" w:lineRule="auto"/>
        <w:ind w:left="420"/>
      </w:pPr>
      <w:r>
        <w:rPr>
          <w:sz w:val="19"/>
        </w:rPr>
        <w:t xml:space="preserve">5. 05_final_figures.ipynb —— </w:t>
      </w:r>
      <w:r>
        <w:rPr>
          <w:sz w:val="19"/>
        </w:rPr>
        <w:t>成品图统一重绘</w:t>
      </w:r>
    </w:p>
    <w:p w14:paraId="0B9ED03B" w14:textId="77777777" w:rsidR="001E4797" w:rsidRDefault="000B4D2E">
      <w:pPr>
        <w:keepLines/>
        <w:widowControl/>
        <w:spacing w:after="10" w:line="259" w:lineRule="auto"/>
        <w:ind w:left="420"/>
      </w:pPr>
      <w:r>
        <w:rPr>
          <w:sz w:val="19"/>
        </w:rPr>
        <w:t xml:space="preserve">01 </w:t>
      </w:r>
      <w:r>
        <w:rPr>
          <w:sz w:val="19"/>
        </w:rPr>
        <w:t>导出的清洗数据是下游唯一入口；</w:t>
      </w:r>
      <w:r>
        <w:rPr>
          <w:sz w:val="19"/>
        </w:rPr>
        <w:t xml:space="preserve">02 </w:t>
      </w:r>
      <w:r>
        <w:rPr>
          <w:sz w:val="19"/>
        </w:rPr>
        <w:t>和</w:t>
      </w:r>
      <w:r>
        <w:rPr>
          <w:sz w:val="19"/>
        </w:rPr>
        <w:t xml:space="preserve"> 04 </w:t>
      </w:r>
      <w:r>
        <w:rPr>
          <w:sz w:val="19"/>
        </w:rPr>
        <w:t>只读取该文件，不重复清洗。</w:t>
      </w:r>
    </w:p>
    <w:p w14:paraId="66A72B04" w14:textId="77777777" w:rsidR="007A1D2E" w:rsidRDefault="00301F2E">
      <w:pPr>
        <w:pStyle w:val="2"/>
        <w:widowControl/>
        <w:spacing w:before="140" w:after="40" w:line="240" w:lineRule="auto"/>
        <w:rPr>
          <w:rFonts w:hint="eastAsia"/>
        </w:rPr>
      </w:pPr>
      <w:bookmarkStart w:id="26" w:name="_Toc244208973"/>
      <w:r>
        <w:t>9.2 主要代码片段</w:t>
      </w:r>
      <w:bookmarkEnd w:id="26"/>
    </w:p>
    <w:p w14:paraId="362A3283" w14:textId="77777777" w:rsidR="007A1D2E" w:rsidRDefault="00301F2E">
      <w:pPr>
        <w:widowControl/>
        <w:spacing w:after="30" w:line="269" w:lineRule="auto"/>
        <w:ind w:firstLine="420"/>
      </w:pPr>
      <w:r>
        <w:rPr>
          <w:rFonts w:ascii="宋体" w:eastAsia="宋体" w:hAnsi="宋体"/>
        </w:rPr>
        <w:t>以下代码用于按小时聚合并输出峰谷指标，完整代码见 02_load_patterns.ipynb。</w:t>
      </w:r>
    </w:p>
    <w:p w14:paraId="0BE0A150" w14:textId="77777777" w:rsidR="007A1D2E" w:rsidRDefault="00301F2E">
      <w:pPr>
        <w:widowControl/>
        <w:spacing w:before="20" w:after="60" w:line="240" w:lineRule="auto"/>
        <w:ind w:left="340"/>
      </w:pPr>
      <w:r>
        <w:rPr>
          <w:rFonts w:ascii="Consolas" w:eastAsia="Consolas" w:hAnsi="Consolas"/>
          <w:sz w:val="17"/>
        </w:rPr>
        <w:t>hourly = df.groupby(df.index.hour)[ZONE_COLS + [TOTAL]].mean()</w:t>
      </w:r>
      <w:r>
        <w:rPr>
          <w:rFonts w:ascii="Consolas" w:eastAsia="Consolas" w:hAnsi="Consolas"/>
          <w:sz w:val="17"/>
        </w:rPr>
        <w:br/>
        <w:t>peak_hour = hourly[TOTAL].idxmax()</w:t>
      </w:r>
      <w:r>
        <w:rPr>
          <w:rFonts w:ascii="Consolas" w:eastAsia="Consolas" w:hAnsi="Consolas"/>
          <w:sz w:val="17"/>
        </w:rPr>
        <w:br/>
        <w:t>valley_hour = hourly[TOTAL].idxmin()</w:t>
      </w:r>
      <w:r>
        <w:rPr>
          <w:rFonts w:ascii="Consolas" w:eastAsia="Consolas" w:hAnsi="Consolas"/>
          <w:sz w:val="17"/>
        </w:rPr>
        <w:br/>
        <w:t>peak_to_valley = hourly[TOTAL].max() / hourly[TOTAL].min()</w:t>
      </w:r>
      <w:r>
        <w:rPr>
          <w:rFonts w:ascii="Consolas" w:eastAsia="Consolas" w:hAnsi="Consolas"/>
          <w:sz w:val="17"/>
        </w:rPr>
        <w:br/>
        <w:t>print(peak_hour, valley_hour, peak_to_valley)</w:t>
      </w:r>
    </w:p>
    <w:p w14:paraId="439925BF" w14:textId="77777777" w:rsidR="007A1D2E" w:rsidRDefault="00301F2E">
      <w:pPr>
        <w:pStyle w:val="2"/>
        <w:widowControl/>
        <w:spacing w:before="140" w:after="40" w:line="240" w:lineRule="auto"/>
        <w:rPr>
          <w:rFonts w:hint="eastAsia"/>
        </w:rPr>
      </w:pPr>
      <w:bookmarkStart w:id="27" w:name="_Toc244208974"/>
      <w:r>
        <w:t>9.3 图表与统计表清单</w:t>
      </w:r>
      <w:bookmarkEnd w:id="27"/>
    </w:p>
    <w:p w14:paraId="6549E641" w14:textId="77777777" w:rsidR="007A1D2E" w:rsidRDefault="00301F2E">
      <w:pPr>
        <w:widowControl/>
        <w:spacing w:after="30" w:line="269" w:lineRule="auto"/>
        <w:ind w:firstLine="420"/>
        <w:jc w:val="left"/>
      </w:pPr>
      <w:r>
        <w:rPr>
          <w:rFonts w:ascii="宋体" w:eastAsia="宋体" w:hAnsi="宋体"/>
        </w:rPr>
        <w:t>图 1—图 11 分别对应日内曲线、周内曲线、季节曲线、分区箱线图、分区规模与波动性、Zone3 月度比值、全样本相关热力图、按月温度相关、月×小时温度相关、测试期预测</w:t>
      </w:r>
      <w:r>
        <w:rPr>
          <w:rFonts w:ascii="宋体" w:eastAsia="宋体" w:hAnsi="宋体"/>
        </w:rPr>
        <w:lastRenderedPageBreak/>
        <w:t>与实际对比、特征消融。统计表保存在 tables/ 目录；除 02、04 输出的统计表外，03 另输出 model_metrics.csv、feature_importance.csv 和 model_ablation.csv。</w:t>
      </w:r>
    </w:p>
    <w:p w14:paraId="5F132B98" w14:textId="77777777" w:rsidR="007A1D2E" w:rsidRDefault="00301F2E">
      <w:pPr>
        <w:widowControl/>
        <w:spacing w:after="30" w:line="269" w:lineRule="auto"/>
        <w:ind w:firstLine="420"/>
        <w:jc w:val="left"/>
      </w:pPr>
      <w:r>
        <w:rPr>
          <w:rFonts w:ascii="宋体" w:eastAsia="宋体" w:hAnsi="宋体"/>
        </w:rPr>
        <w:t>报告中的数值均可由 02_load_patterns.ipynb、04_weather_correlation.ipynb 和 03_forecast_model.ipynb 复现。若后续更新清洗数据或建模结果，应同步重跑相应 notebook，并核对图表、统计表和正文数字的一致性。</w:t>
      </w:r>
    </w:p>
    <w:p w14:paraId="7D7C5A34" w14:textId="77777777" w:rsidR="007A1D2E" w:rsidRDefault="00301F2E">
      <w:pPr>
        <w:pStyle w:val="2"/>
        <w:widowControl/>
        <w:spacing w:before="140" w:after="40" w:line="240" w:lineRule="auto"/>
        <w:rPr>
          <w:rFonts w:hint="eastAsia"/>
        </w:rPr>
      </w:pPr>
      <w:bookmarkStart w:id="28" w:name="_Toc244208975"/>
      <w:r>
        <w:t>9.4 交付文件与提交清单</w:t>
      </w:r>
      <w:bookmarkEnd w:id="28"/>
    </w:p>
    <w:p w14:paraId="269D83FD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报告：</w:t>
      </w:r>
      <w:r>
        <w:rPr>
          <w:rFonts w:ascii="宋体" w:eastAsia="宋体" w:hAnsi="宋体"/>
        </w:rPr>
        <w:t>report/</w:t>
      </w:r>
      <w:r>
        <w:rPr>
          <w:rFonts w:ascii="宋体" w:eastAsia="宋体" w:hAnsi="宋体"/>
        </w:rPr>
        <w:t>题目四</w:t>
      </w:r>
      <w:r>
        <w:rPr>
          <w:rFonts w:ascii="宋体" w:eastAsia="宋体" w:hAnsi="宋体"/>
        </w:rPr>
        <w:t>_</w:t>
      </w:r>
      <w:r>
        <w:rPr>
          <w:rFonts w:ascii="宋体" w:eastAsia="宋体" w:hAnsi="宋体"/>
        </w:rPr>
        <w:t>城市电力负荷分析与预测</w:t>
      </w:r>
      <w:r>
        <w:rPr>
          <w:rFonts w:ascii="宋体" w:eastAsia="宋体" w:hAnsi="宋体"/>
        </w:rPr>
        <w:t>_</w:t>
      </w:r>
      <w:r>
        <w:rPr>
          <w:rFonts w:ascii="宋体" w:eastAsia="宋体" w:hAnsi="宋体"/>
        </w:rPr>
        <w:t>报告</w:t>
      </w:r>
      <w:r>
        <w:rPr>
          <w:rFonts w:ascii="宋体" w:eastAsia="宋体" w:hAnsi="宋体"/>
        </w:rPr>
        <w:t xml:space="preserve">.docx </w:t>
      </w:r>
      <w:r>
        <w:rPr>
          <w:rFonts w:ascii="宋体" w:eastAsia="宋体" w:hAnsi="宋体"/>
        </w:rPr>
        <w:t>与同名</w:t>
      </w:r>
      <w:r>
        <w:rPr>
          <w:rFonts w:ascii="宋体" w:eastAsia="宋体" w:hAnsi="宋体"/>
        </w:rPr>
        <w:t xml:space="preserve"> PDF</w:t>
      </w:r>
      <w:r>
        <w:rPr>
          <w:rFonts w:ascii="宋体" w:eastAsia="宋体" w:hAnsi="宋体"/>
        </w:rPr>
        <w:t>，正文</w:t>
      </w:r>
      <w:r>
        <w:rPr>
          <w:rFonts w:ascii="宋体" w:eastAsia="宋体" w:hAnsi="宋体"/>
        </w:rPr>
        <w:t xml:space="preserve"> 20 </w:t>
      </w:r>
      <w:r>
        <w:rPr>
          <w:rFonts w:ascii="宋体" w:eastAsia="宋体" w:hAnsi="宋体"/>
        </w:rPr>
        <w:t>页、</w:t>
      </w:r>
      <w:r>
        <w:rPr>
          <w:rFonts w:ascii="宋体" w:eastAsia="宋体" w:hAnsi="宋体"/>
        </w:rPr>
        <w:t xml:space="preserve">11 </w:t>
      </w:r>
      <w:r>
        <w:rPr>
          <w:rFonts w:ascii="宋体" w:eastAsia="宋体" w:hAnsi="宋体"/>
        </w:rPr>
        <w:t>张图、</w:t>
      </w:r>
      <w:r>
        <w:rPr>
          <w:rFonts w:ascii="宋体" w:eastAsia="宋体" w:hAnsi="宋体"/>
        </w:rPr>
        <w:t xml:space="preserve">8 </w:t>
      </w:r>
      <w:r>
        <w:rPr>
          <w:rFonts w:ascii="宋体" w:eastAsia="宋体" w:hAnsi="宋体"/>
        </w:rPr>
        <w:t>张表。</w:t>
      </w:r>
    </w:p>
    <w:p w14:paraId="03DD4792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代码：</w:t>
      </w:r>
      <w:r>
        <w:rPr>
          <w:rFonts w:ascii="宋体" w:eastAsia="宋体" w:hAnsi="宋体"/>
        </w:rPr>
        <w:t xml:space="preserve">project/ </w:t>
      </w:r>
      <w:r>
        <w:rPr>
          <w:rFonts w:ascii="宋体" w:eastAsia="宋体" w:hAnsi="宋体"/>
        </w:rPr>
        <w:t>下五个</w:t>
      </w:r>
      <w:r>
        <w:rPr>
          <w:rFonts w:ascii="宋体" w:eastAsia="宋体" w:hAnsi="宋体"/>
        </w:rPr>
        <w:t xml:space="preserve"> notebook</w:t>
      </w:r>
      <w:r>
        <w:rPr>
          <w:rFonts w:ascii="宋体" w:eastAsia="宋体" w:hAnsi="宋体"/>
        </w:rPr>
        <w:t>（</w:t>
      </w:r>
      <w:r>
        <w:rPr>
          <w:rFonts w:ascii="宋体" w:eastAsia="宋体" w:hAnsi="宋体"/>
        </w:rPr>
        <w:t>01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02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04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03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05</w:t>
      </w:r>
      <w:r>
        <w:rPr>
          <w:rFonts w:ascii="宋体" w:eastAsia="宋体" w:hAnsi="宋体"/>
        </w:rPr>
        <w:t>），按</w:t>
      </w:r>
      <w:r>
        <w:rPr>
          <w:rFonts w:ascii="宋体" w:eastAsia="宋体" w:hAnsi="宋体"/>
        </w:rPr>
        <w:t xml:space="preserve"> 9.1 </w:t>
      </w:r>
      <w:r>
        <w:rPr>
          <w:rFonts w:ascii="宋体" w:eastAsia="宋体" w:hAnsi="宋体"/>
        </w:rPr>
        <w:t>顺序运行；报告图</w:t>
      </w:r>
      <w:r>
        <w:rPr>
          <w:rFonts w:ascii="宋体" w:eastAsia="宋体" w:hAnsi="宋体"/>
        </w:rPr>
        <w:t xml:space="preserve"> 1—9 </w:t>
      </w:r>
      <w:r>
        <w:rPr>
          <w:rFonts w:ascii="宋体" w:eastAsia="宋体" w:hAnsi="宋体"/>
        </w:rPr>
        <w:t>由重绘脚本生成，图</w:t>
      </w:r>
      <w:r>
        <w:rPr>
          <w:rFonts w:ascii="宋体" w:eastAsia="宋体" w:hAnsi="宋体"/>
        </w:rPr>
        <w:t xml:space="preserve"> 10—11 </w:t>
      </w:r>
      <w:r>
        <w:rPr>
          <w:rFonts w:ascii="宋体" w:eastAsia="宋体" w:hAnsi="宋体"/>
        </w:rPr>
        <w:t>由模型图脚本读取统计表重绘，均不重新训练模型。</w:t>
      </w:r>
    </w:p>
    <w:p w14:paraId="5B0F6A87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图件：</w:t>
      </w:r>
      <w:r>
        <w:rPr>
          <w:rFonts w:ascii="宋体" w:eastAsia="宋体" w:hAnsi="宋体"/>
        </w:rPr>
        <w:t>figures/cleaning/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>figures/patterns/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</w:rPr>
        <w:t xml:space="preserve">figures/model/ </w:t>
      </w:r>
      <w:r>
        <w:rPr>
          <w:rFonts w:ascii="宋体" w:eastAsia="宋体" w:hAnsi="宋体"/>
        </w:rPr>
        <w:t>三个目录，报告用图为</w:t>
      </w:r>
      <w:r>
        <w:rPr>
          <w:rFonts w:ascii="宋体" w:eastAsia="宋体" w:hAnsi="宋体"/>
        </w:rPr>
        <w:t xml:space="preserve"> 240—300 dpi</w:t>
      </w:r>
      <w:r>
        <w:rPr>
          <w:rFonts w:ascii="宋体" w:eastAsia="宋体" w:hAnsi="宋体"/>
        </w:rPr>
        <w:t>，图注中的样本量统一为</w:t>
      </w:r>
      <w:r>
        <w:rPr>
          <w:rFonts w:ascii="宋体" w:eastAsia="宋体" w:hAnsi="宋体"/>
        </w:rPr>
        <w:t xml:space="preserve"> 52,416 </w:t>
      </w:r>
      <w:r>
        <w:rPr>
          <w:rFonts w:ascii="宋体" w:eastAsia="宋体" w:hAnsi="宋体"/>
        </w:rPr>
        <w:t>条。</w:t>
      </w:r>
    </w:p>
    <w:p w14:paraId="7976A99C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统计表：</w:t>
      </w:r>
      <w:r>
        <w:rPr>
          <w:rFonts w:ascii="宋体" w:eastAsia="宋体" w:hAnsi="宋体"/>
        </w:rPr>
        <w:t xml:space="preserve">tables/ </w:t>
      </w:r>
      <w:r>
        <w:rPr>
          <w:rFonts w:ascii="宋体" w:eastAsia="宋体" w:hAnsi="宋体"/>
        </w:rPr>
        <w:t>下</w:t>
      </w:r>
      <w:r>
        <w:rPr>
          <w:rFonts w:ascii="宋体" w:eastAsia="宋体" w:hAnsi="宋体"/>
        </w:rPr>
        <w:t xml:space="preserve"> 22 </w:t>
      </w:r>
      <w:r>
        <w:rPr>
          <w:rFonts w:ascii="宋体" w:eastAsia="宋体" w:hAnsi="宋体"/>
        </w:rPr>
        <w:t>个统计表</w:t>
      </w:r>
      <w:r>
        <w:rPr>
          <w:rFonts w:ascii="宋体" w:eastAsia="宋体" w:hAnsi="宋体"/>
        </w:rPr>
        <w:t xml:space="preserve"> CSV</w:t>
      </w:r>
      <w:r>
        <w:rPr>
          <w:rFonts w:ascii="宋体" w:eastAsia="宋体" w:hAnsi="宋体"/>
        </w:rPr>
        <w:t>；预测结果另存</w:t>
      </w:r>
      <w:r>
        <w:rPr>
          <w:rFonts w:ascii="宋体" w:eastAsia="宋体" w:hAnsi="宋体"/>
        </w:rPr>
        <w:t xml:space="preserve"> tables/predictions/</w:t>
      </w:r>
      <w:r>
        <w:rPr>
          <w:rFonts w:ascii="宋体" w:eastAsia="宋体" w:hAnsi="宋体"/>
        </w:rPr>
        <w:t>（</w:t>
      </w:r>
      <w:r>
        <w:rPr>
          <w:rFonts w:ascii="宋体" w:eastAsia="宋体" w:hAnsi="宋体"/>
        </w:rPr>
        <w:t xml:space="preserve">5 </w:t>
      </w:r>
      <w:r>
        <w:rPr>
          <w:rFonts w:ascii="宋体" w:eastAsia="宋体" w:hAnsi="宋体"/>
        </w:rPr>
        <w:t>个文件），每份覆盖</w:t>
      </w:r>
      <w:r>
        <w:rPr>
          <w:rFonts w:ascii="宋体" w:eastAsia="宋体" w:hAnsi="宋体"/>
        </w:rPr>
        <w:t xml:space="preserve"> 11 </w:t>
      </w:r>
      <w:r>
        <w:rPr>
          <w:rFonts w:ascii="宋体" w:eastAsia="宋体" w:hAnsi="宋体"/>
        </w:rPr>
        <w:t>月</w:t>
      </w:r>
      <w:r>
        <w:rPr>
          <w:rFonts w:ascii="宋体" w:eastAsia="宋体" w:hAnsi="宋体"/>
        </w:rPr>
        <w:t xml:space="preserve"> 1 </w:t>
      </w:r>
      <w:r>
        <w:rPr>
          <w:rFonts w:ascii="宋体" w:eastAsia="宋体" w:hAnsi="宋体"/>
        </w:rPr>
        <w:t>日至</w:t>
      </w:r>
      <w:r>
        <w:rPr>
          <w:rFonts w:ascii="宋体" w:eastAsia="宋体" w:hAnsi="宋体"/>
        </w:rPr>
        <w:t xml:space="preserve"> 12 </w:t>
      </w:r>
      <w:r>
        <w:rPr>
          <w:rFonts w:ascii="宋体" w:eastAsia="宋体" w:hAnsi="宋体"/>
        </w:rPr>
        <w:t>月</w:t>
      </w:r>
      <w:r>
        <w:rPr>
          <w:rFonts w:ascii="宋体" w:eastAsia="宋体" w:hAnsi="宋体"/>
        </w:rPr>
        <w:t xml:space="preserve"> 30 </w:t>
      </w:r>
      <w:r>
        <w:rPr>
          <w:rFonts w:ascii="宋体" w:eastAsia="宋体" w:hAnsi="宋体"/>
        </w:rPr>
        <w:t>日的</w:t>
      </w:r>
      <w:r>
        <w:rPr>
          <w:rFonts w:ascii="宋体" w:eastAsia="宋体" w:hAnsi="宋体"/>
        </w:rPr>
        <w:t xml:space="preserve"> 8,640 </w:t>
      </w:r>
      <w:r>
        <w:rPr>
          <w:rFonts w:ascii="宋体" w:eastAsia="宋体" w:hAnsi="宋体"/>
        </w:rPr>
        <w:t>条测试样本。</w:t>
      </w:r>
    </w:p>
    <w:p w14:paraId="5855CD71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汇报材料：</w:t>
      </w:r>
      <w:r>
        <w:rPr>
          <w:rFonts w:ascii="宋体" w:eastAsia="宋体" w:hAnsi="宋体"/>
        </w:rPr>
        <w:t xml:space="preserve">5 </w:t>
      </w:r>
      <w:r>
        <w:rPr>
          <w:rFonts w:ascii="宋体" w:eastAsia="宋体" w:hAnsi="宋体"/>
        </w:rPr>
        <w:t>分钟汇报视频与</w:t>
      </w:r>
      <w:r>
        <w:rPr>
          <w:rFonts w:ascii="宋体" w:eastAsia="宋体" w:hAnsi="宋体"/>
        </w:rPr>
        <w:t xml:space="preserve"> PPT </w:t>
      </w:r>
      <w:r>
        <w:rPr>
          <w:rFonts w:ascii="宋体" w:eastAsia="宋体" w:hAnsi="宋体"/>
        </w:rPr>
        <w:t>按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组号</w:t>
      </w:r>
      <w:r>
        <w:rPr>
          <w:rFonts w:ascii="宋体" w:eastAsia="宋体" w:hAnsi="宋体"/>
        </w:rPr>
        <w:t>_</w:t>
      </w:r>
      <w:r>
        <w:rPr>
          <w:rFonts w:ascii="宋体" w:eastAsia="宋体" w:hAnsi="宋体"/>
        </w:rPr>
        <w:t>题目四</w:t>
      </w:r>
      <w:r>
        <w:rPr>
          <w:rFonts w:ascii="宋体" w:eastAsia="宋体" w:hAnsi="宋体"/>
        </w:rPr>
        <w:t>_</w:t>
      </w:r>
      <w:r>
        <w:rPr>
          <w:rFonts w:ascii="宋体" w:eastAsia="宋体" w:hAnsi="宋体"/>
        </w:rPr>
        <w:t>沈成源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命名，于第七周周六（</w:t>
      </w:r>
      <w:r>
        <w:rPr>
          <w:rFonts w:ascii="宋体" w:eastAsia="宋体" w:hAnsi="宋体"/>
        </w:rPr>
        <w:t xml:space="preserve">10 </w:t>
      </w:r>
      <w:r>
        <w:rPr>
          <w:rFonts w:ascii="宋体" w:eastAsia="宋体" w:hAnsi="宋体"/>
        </w:rPr>
        <w:t>月</w:t>
      </w:r>
      <w:r>
        <w:rPr>
          <w:rFonts w:ascii="宋体" w:eastAsia="宋体" w:hAnsi="宋体"/>
        </w:rPr>
        <w:t xml:space="preserve"> 31 </w:t>
      </w:r>
      <w:r>
        <w:rPr>
          <w:rFonts w:ascii="宋体" w:eastAsia="宋体" w:hAnsi="宋体"/>
        </w:rPr>
        <w:t>日）前提交学习通。</w:t>
      </w:r>
    </w:p>
    <w:p w14:paraId="6EB746FB" w14:textId="77777777" w:rsidR="006D62D7" w:rsidRDefault="009F49E3">
      <w:pPr>
        <w:widowControl/>
        <w:spacing w:after="30" w:line="269" w:lineRule="auto"/>
        <w:jc w:val="left"/>
      </w:pPr>
      <w:r>
        <w:rPr>
          <w:rFonts w:ascii="宋体" w:eastAsia="宋体" w:hAnsi="宋体"/>
        </w:rPr>
        <w:t>自查：正文数字均可在</w:t>
      </w:r>
      <w:r>
        <w:rPr>
          <w:rFonts w:ascii="宋体" w:eastAsia="宋体" w:hAnsi="宋体"/>
        </w:rPr>
        <w:t xml:space="preserve"> tables/ </w:t>
      </w:r>
      <w:r>
        <w:rPr>
          <w:rFonts w:ascii="宋体" w:eastAsia="宋体" w:hAnsi="宋体"/>
        </w:rPr>
        <w:t>或</w:t>
      </w:r>
      <w:r>
        <w:rPr>
          <w:rFonts w:ascii="宋体" w:eastAsia="宋体" w:hAnsi="宋体"/>
        </w:rPr>
        <w:t xml:space="preserve"> notebook </w:t>
      </w:r>
      <w:r>
        <w:rPr>
          <w:rFonts w:ascii="宋体" w:eastAsia="宋体" w:hAnsi="宋体"/>
        </w:rPr>
        <w:t>输出中找到对应项，训练、测试与预热期的样本量可加总还原为</w:t>
      </w:r>
      <w:r>
        <w:rPr>
          <w:rFonts w:ascii="宋体" w:eastAsia="宋体" w:hAnsi="宋体"/>
        </w:rPr>
        <w:t xml:space="preserve"> 52,416 </w:t>
      </w:r>
      <w:r>
        <w:rPr>
          <w:rFonts w:ascii="宋体" w:eastAsia="宋体" w:hAnsi="宋体"/>
        </w:rPr>
        <w:t>条；</w:t>
      </w:r>
      <w:r>
        <w:rPr>
          <w:rFonts w:ascii="宋体" w:eastAsia="宋体" w:hAnsi="宋体"/>
        </w:rPr>
        <w:t xml:space="preserve">Git </w:t>
      </w:r>
      <w:r>
        <w:rPr>
          <w:rFonts w:ascii="宋体" w:eastAsia="宋体" w:hAnsi="宋体"/>
        </w:rPr>
        <w:t>提交记录与第</w:t>
      </w:r>
      <w:r>
        <w:rPr>
          <w:rFonts w:ascii="宋体" w:eastAsia="宋体" w:hAnsi="宋体"/>
        </w:rPr>
        <w:t xml:space="preserve"> 8 </w:t>
      </w:r>
      <w:r>
        <w:rPr>
          <w:rFonts w:ascii="宋体" w:eastAsia="宋体" w:hAnsi="宋体"/>
        </w:rPr>
        <w:t>章分工一一对应，仓库链接见</w:t>
      </w:r>
      <w:r>
        <w:rPr>
          <w:rFonts w:ascii="宋体" w:eastAsia="宋体" w:hAnsi="宋体"/>
        </w:rPr>
        <w:t xml:space="preserve"> 9.1</w:t>
      </w:r>
      <w:r>
        <w:rPr>
          <w:rFonts w:ascii="宋体" w:eastAsia="宋体" w:hAnsi="宋体"/>
        </w:rPr>
        <w:t>。</w:t>
      </w:r>
    </w:p>
    <w:sectPr w:rsidR="006D62D7">
      <w:footerReference w:type="default" r:id="rId18"/>
      <w:pgSz w:w="11906" w:h="16838"/>
      <w:pgMar w:top="1474" w:right="1701" w:bottom="1474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377B7" w14:textId="77777777" w:rsidR="009F49E3" w:rsidRDefault="009F49E3">
      <w:pPr>
        <w:spacing w:after="0" w:line="240" w:lineRule="auto"/>
      </w:pPr>
      <w:r>
        <w:separator/>
      </w:r>
    </w:p>
  </w:endnote>
  <w:endnote w:type="continuationSeparator" w:id="0">
    <w:p w14:paraId="3751ADBE" w14:textId="77777777" w:rsidR="009F49E3" w:rsidRDefault="009F4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8161" w14:textId="77777777" w:rsidR="007A1D2E" w:rsidRDefault="00301F2E">
    <w:pPr>
      <w:jc w:val="center"/>
    </w:pPr>
    <w:r>
      <w:rPr>
        <w:rFonts w:ascii="宋体" w:eastAsia="宋体" w:hAnsi="宋体"/>
        <w:color w:val="646464"/>
        <w:sz w:val="18"/>
      </w:rPr>
      <w:fldChar w:fldCharType="begin"/>
    </w:r>
    <w:r>
      <w:rPr>
        <w:rFonts w:ascii="宋体" w:eastAsia="宋体" w:hAnsi="宋体"/>
        <w:color w:val="646464"/>
        <w:sz w:val="18"/>
      </w:rPr>
      <w:instrText xml:space="preserve"> PAGE </w:instrText>
    </w:r>
    <w:r>
      <w:rPr>
        <w:rFonts w:ascii="宋体" w:eastAsia="宋体" w:hAnsi="宋体"/>
        <w:color w:val="646464"/>
        <w:sz w:val="18"/>
      </w:rPr>
      <w:fldChar w:fldCharType="separate"/>
    </w:r>
    <w:r>
      <w:rPr>
        <w:rFonts w:ascii="宋体" w:eastAsia="宋体" w:hAnsi="宋体"/>
        <w:color w:val="646464"/>
        <w:sz w:val="18"/>
      </w:rPr>
      <w:t>1</w:t>
    </w:r>
    <w:r>
      <w:rPr>
        <w:rFonts w:ascii="宋体" w:eastAsia="宋体" w:hAnsi="宋体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A39C" w14:textId="77777777" w:rsidR="009F49E3" w:rsidRDefault="009F49E3">
      <w:pPr>
        <w:spacing w:after="0" w:line="240" w:lineRule="auto"/>
      </w:pPr>
      <w:r>
        <w:separator/>
      </w:r>
    </w:p>
  </w:footnote>
  <w:footnote w:type="continuationSeparator" w:id="0">
    <w:p w14:paraId="716CA275" w14:textId="77777777" w:rsidR="009F49E3" w:rsidRDefault="009F4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486"/>
    <w:multiLevelType w:val="multilevel"/>
    <w:tmpl w:val="5AC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66A8E"/>
    <w:multiLevelType w:val="multilevel"/>
    <w:tmpl w:val="2FD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47A85"/>
    <w:multiLevelType w:val="multilevel"/>
    <w:tmpl w:val="1CF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84083"/>
    <w:multiLevelType w:val="multilevel"/>
    <w:tmpl w:val="445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307336">
    <w:abstractNumId w:val="1"/>
  </w:num>
  <w:num w:numId="2" w16cid:durableId="44718113">
    <w:abstractNumId w:val="3"/>
  </w:num>
  <w:num w:numId="3" w16cid:durableId="1265110529">
    <w:abstractNumId w:val="0"/>
  </w:num>
  <w:num w:numId="4" w16cid:durableId="401413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012A82"/>
    <w:rsid w:val="00076291"/>
    <w:rsid w:val="000A50BF"/>
    <w:rsid w:val="000B4D2E"/>
    <w:rsid w:val="000C76BC"/>
    <w:rsid w:val="0011405F"/>
    <w:rsid w:val="001321B5"/>
    <w:rsid w:val="001D7E29"/>
    <w:rsid w:val="001E4797"/>
    <w:rsid w:val="00207BF8"/>
    <w:rsid w:val="00217704"/>
    <w:rsid w:val="00276A5A"/>
    <w:rsid w:val="00282E78"/>
    <w:rsid w:val="002A5E7C"/>
    <w:rsid w:val="002A76D7"/>
    <w:rsid w:val="002F7113"/>
    <w:rsid w:val="00301F2E"/>
    <w:rsid w:val="00337920"/>
    <w:rsid w:val="00351011"/>
    <w:rsid w:val="003956C6"/>
    <w:rsid w:val="003B18E9"/>
    <w:rsid w:val="004571EF"/>
    <w:rsid w:val="00484D00"/>
    <w:rsid w:val="004C098D"/>
    <w:rsid w:val="004F4074"/>
    <w:rsid w:val="00555C42"/>
    <w:rsid w:val="005A7809"/>
    <w:rsid w:val="005F4B8F"/>
    <w:rsid w:val="00620F6A"/>
    <w:rsid w:val="00661DFE"/>
    <w:rsid w:val="006D62D7"/>
    <w:rsid w:val="006F30B3"/>
    <w:rsid w:val="007A1D2E"/>
    <w:rsid w:val="007A36AB"/>
    <w:rsid w:val="007A374C"/>
    <w:rsid w:val="007E4B7D"/>
    <w:rsid w:val="007F0843"/>
    <w:rsid w:val="008038CA"/>
    <w:rsid w:val="00814A26"/>
    <w:rsid w:val="00832540"/>
    <w:rsid w:val="00872003"/>
    <w:rsid w:val="008C5B3E"/>
    <w:rsid w:val="00917AEA"/>
    <w:rsid w:val="009674BD"/>
    <w:rsid w:val="009756BB"/>
    <w:rsid w:val="009C3FC3"/>
    <w:rsid w:val="009E4576"/>
    <w:rsid w:val="009E7F97"/>
    <w:rsid w:val="009F49E3"/>
    <w:rsid w:val="00A360CF"/>
    <w:rsid w:val="00A852BD"/>
    <w:rsid w:val="00AC60E3"/>
    <w:rsid w:val="00AC6F29"/>
    <w:rsid w:val="00AE606F"/>
    <w:rsid w:val="00B13096"/>
    <w:rsid w:val="00B2700A"/>
    <w:rsid w:val="00B3082D"/>
    <w:rsid w:val="00B412CF"/>
    <w:rsid w:val="00B6613E"/>
    <w:rsid w:val="00B85480"/>
    <w:rsid w:val="00C7482B"/>
    <w:rsid w:val="00D20DFF"/>
    <w:rsid w:val="00D51106"/>
    <w:rsid w:val="00D57D4C"/>
    <w:rsid w:val="00DC30DA"/>
    <w:rsid w:val="00EA23C7"/>
    <w:rsid w:val="00EC4449"/>
    <w:rsid w:val="00F14FFB"/>
    <w:rsid w:val="00F26198"/>
    <w:rsid w:val="00F71ECD"/>
    <w:rsid w:val="00F75F56"/>
    <w:rsid w:val="00F804B0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CC7A0"/>
  <w15:docId w15:val="{16FA2DA0-381C-47AB-B233-052A3E39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80" w:line="360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="360" w:beforeAutospacing="1" w:after="160" w:afterAutospacing="1"/>
      <w:jc w:val="left"/>
      <w:outlineLvl w:val="0"/>
    </w:pPr>
    <w:rPr>
      <w:rFonts w:ascii="黑体" w:eastAsia="黑体" w:hAnsi="黑体" w:cs="Times New Roman" w:hint="eastAsia"/>
      <w:b/>
      <w:bCs/>
      <w:color w:val="000000"/>
      <w:kern w:val="44"/>
      <w:sz w:val="32"/>
      <w:szCs w:val="48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40" w:after="100" w:line="408" w:lineRule="auto"/>
      <w:outlineLvl w:val="1"/>
    </w:pPr>
    <w:rPr>
      <w:rFonts w:ascii="黑体" w:eastAsia="黑体" w:hAnsi="黑体"/>
      <w:b/>
      <w:bCs/>
      <w:color w:val="000000"/>
      <w:sz w:val="25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9">
    <w:name w:val="toc 9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a3">
    <w:name w:val="Body Text"/>
    <w:basedOn w:val="a"/>
    <w:uiPriority w:val="99"/>
    <w:qFormat/>
    <w:pPr>
      <w:spacing w:after="120"/>
    </w:pPr>
  </w:style>
  <w:style w:type="paragraph" w:styleId="TOC6">
    <w:name w:val="toc 6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5">
    <w:name w:val="toc 5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character" w:styleId="a4">
    <w:name w:val="Strong"/>
    <w:basedOn w:val="a0"/>
    <w:qFormat/>
    <w:rPr>
      <w:b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7E4B7D"/>
    <w:pPr>
      <w:spacing w:after="30" w:line="240" w:lineRule="auto"/>
      <w:ind w:left="255"/>
      <w:jc w:val="left"/>
    </w:pPr>
    <w:rPr>
      <w:rFonts w:ascii="宋体" w:hAnsi="宋体" w:cstheme="minorHAnsi"/>
      <w:b/>
      <w:bCs/>
      <w:sz w:val="18"/>
      <w:szCs w:val="22"/>
    </w:rPr>
  </w:style>
  <w:style w:type="paragraph" w:styleId="TOC7">
    <w:name w:val="toc 7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TOC">
    <w:name w:val="TOC Heading"/>
    <w:basedOn w:val="1"/>
    <w:next w:val="a"/>
    <w:uiPriority w:val="39"/>
    <w:unhideWhenUsed/>
    <w:qFormat/>
    <w:rsid w:val="007E4B7D"/>
    <w:pPr>
      <w:keepLines/>
      <w:widowControl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D53A0" w:themeColor="accent1" w:themeShade="BF"/>
      <w:kern w:val="0"/>
      <w:sz w:val="28"/>
      <w:szCs w:val="28"/>
    </w:rPr>
  </w:style>
  <w:style w:type="character" w:styleId="a6">
    <w:name w:val="Hyperlink"/>
    <w:basedOn w:val="a0"/>
    <w:uiPriority w:val="99"/>
    <w:rPr>
      <w:color w:val="0000FF"/>
      <w:u w:val="single"/>
    </w:rPr>
  </w:style>
  <w:style w:type="paragraph" w:styleId="TOC4">
    <w:name w:val="toc 4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1">
    <w:name w:val="toc 1"/>
    <w:basedOn w:val="a"/>
    <w:next w:val="a"/>
    <w:autoRedefine/>
    <w:uiPriority w:val="39"/>
    <w:rsid w:val="007E4B7D"/>
    <w:pPr>
      <w:spacing w:after="30" w:line="240" w:lineRule="auto"/>
      <w:jc w:val="left"/>
    </w:pPr>
    <w:rPr>
      <w:rFonts w:ascii="宋体" w:hAnsi="宋体" w:cstheme="minorHAnsi"/>
      <w:b/>
      <w:bCs/>
      <w:caps/>
      <w:sz w:val="19"/>
      <w:szCs w:val="22"/>
      <w:u w:val="single"/>
    </w:rPr>
  </w:style>
  <w:style w:type="paragraph" w:styleId="TOC8">
    <w:name w:val="toc 8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3">
    <w:name w:val="toc 3"/>
    <w:basedOn w:val="a"/>
    <w:next w:val="a"/>
    <w:autoRedefine/>
    <w:uiPriority w:val="39"/>
    <w:rsid w:val="007E4B7D"/>
    <w:pPr>
      <w:jc w:val="left"/>
    </w:pPr>
    <w:rPr>
      <w:rFonts w:cstheme="minorHAnsi"/>
      <w:smallCaps/>
      <w:sz w:val="22"/>
      <w:szCs w:val="22"/>
    </w:rPr>
  </w:style>
  <w:style w:type="paragraph" w:styleId="a7">
    <w:name w:val="header"/>
    <w:basedOn w:val="a"/>
    <w:link w:val="a8"/>
    <w:rsid w:val="003B18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B18E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3B18E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B18E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6770</Words>
  <Characters>9277</Characters>
  <Application>Microsoft Office Word</Application>
  <DocSecurity>0</DocSecurity>
  <Lines>463</Lines>
  <Paragraphs>471</Paragraphs>
  <ScaleCrop>false</ScaleCrop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追 狸</cp:lastModifiedBy>
  <cp:revision>21</cp:revision>
  <dcterms:created xsi:type="dcterms:W3CDTF">2026-10-08T17:15:00Z</dcterms:created>
  <dcterms:modified xsi:type="dcterms:W3CDTF">2026-10-29T15:28:00Z</dcterms:modified>
</cp:coreProperties>
</file>