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60AD" w14:textId="60994CA0" w:rsidR="00751ABF" w:rsidRPr="00751ABF" w:rsidRDefault="00751ABF" w:rsidP="00751ABF">
      <w:pPr>
        <w:widowControl w:val="0"/>
        <w:tabs>
          <w:tab w:val="left" w:pos="460"/>
        </w:tabs>
        <w:spacing w:after="0" w:line="254" w:lineRule="auto"/>
        <w:ind w:left="460" w:right="53" w:hanging="358"/>
        <w:jc w:val="both"/>
        <w:rPr>
          <w:rFonts w:ascii="Times New Roman" w:eastAsia="Times New Roman" w:hAnsi="Times New Roman" w:cs="Times New Roman"/>
          <w:b/>
          <w:bCs/>
          <w:kern w:val="0"/>
          <w14:ligatures w14:val="none"/>
        </w:rPr>
      </w:pPr>
      <w:r w:rsidRPr="00751ABF">
        <w:rPr>
          <w:rFonts w:ascii="Times New Roman" w:eastAsia="Times New Roman" w:hAnsi="Times New Roman" w:cs="Times New Roman"/>
          <w:b/>
          <w:bCs/>
          <w:kern w:val="0"/>
          <w14:ligatures w14:val="none"/>
        </w:rPr>
        <w:t>PROYECTOS DE INVESTIGACION</w:t>
      </w:r>
      <w:r>
        <w:rPr>
          <w:rFonts w:ascii="Times New Roman" w:eastAsia="Times New Roman" w:hAnsi="Times New Roman" w:cs="Times New Roman"/>
          <w:b/>
          <w:bCs/>
          <w:kern w:val="0"/>
          <w14:ligatures w14:val="none"/>
        </w:rPr>
        <w:t xml:space="preserve"> EN CURSO</w:t>
      </w:r>
    </w:p>
    <w:p w14:paraId="52617E39" w14:textId="77777777" w:rsidR="00751ABF" w:rsidRPr="00751ABF" w:rsidRDefault="00751ABF" w:rsidP="00751ABF">
      <w:pPr>
        <w:widowControl w:val="0"/>
        <w:spacing w:after="0" w:line="240" w:lineRule="auto"/>
        <w:ind w:left="462" w:right="-20"/>
        <w:contextualSpacing/>
        <w:rPr>
          <w:rFonts w:ascii="Times New Roman" w:eastAsia="Times New Roman" w:hAnsi="Times New Roman" w:cs="Times New Roman"/>
          <w:b/>
          <w:bCs/>
          <w:kern w:val="0"/>
          <w14:ligatures w14:val="none"/>
        </w:rPr>
      </w:pPr>
    </w:p>
    <w:p w14:paraId="78508233" w14:textId="4B962718" w:rsidR="00751ABF" w:rsidRDefault="00397424" w:rsidP="00751ABF">
      <w:pPr>
        <w:widowControl w:val="0"/>
        <w:numPr>
          <w:ilvl w:val="0"/>
          <w:numId w:val="1"/>
        </w:numPr>
        <w:spacing w:after="200" w:line="276" w:lineRule="auto"/>
        <w:contextualSpacing/>
        <w:jc w:val="both"/>
        <w:rPr>
          <w:rFonts w:ascii="Times New Roman" w:eastAsia="Times New Roman" w:hAnsi="Times New Roman" w:cs="Times New Roman"/>
          <w:bCs/>
          <w:kern w:val="0"/>
          <w14:ligatures w14:val="none"/>
        </w:rPr>
      </w:pPr>
      <w:r w:rsidRPr="007D138E">
        <w:rPr>
          <w:rFonts w:ascii="Times New Roman" w:eastAsia="Times New Roman" w:hAnsi="Times New Roman" w:cs="Times New Roman"/>
          <w:b/>
          <w:kern w:val="0"/>
          <w14:ligatures w14:val="none"/>
        </w:rPr>
        <w:t xml:space="preserve">Implementación de técnicas para medir la longitud de telómeros humanos: cuantificación mediante PCR en tiempo real y FISH en el Instituto de Genética en las </w:t>
      </w:r>
      <w:proofErr w:type="gramStart"/>
      <w:r w:rsidRPr="007D138E">
        <w:rPr>
          <w:rFonts w:ascii="Times New Roman" w:eastAsia="Times New Roman" w:hAnsi="Times New Roman" w:cs="Times New Roman"/>
          <w:b/>
          <w:kern w:val="0"/>
          <w14:ligatures w14:val="none"/>
        </w:rPr>
        <w:t>gestiones  2024</w:t>
      </w:r>
      <w:proofErr w:type="gramEnd"/>
      <w:r w:rsidRPr="007D138E">
        <w:rPr>
          <w:rFonts w:ascii="Times New Roman" w:eastAsia="Times New Roman" w:hAnsi="Times New Roman" w:cs="Times New Roman"/>
          <w:b/>
          <w:kern w:val="0"/>
          <w14:ligatures w14:val="none"/>
        </w:rPr>
        <w:t xml:space="preserve"> 2025</w:t>
      </w:r>
      <w:r>
        <w:rPr>
          <w:rFonts w:ascii="Times New Roman" w:eastAsia="Times New Roman" w:hAnsi="Times New Roman" w:cs="Times New Roman"/>
          <w:bCs/>
          <w:kern w:val="0"/>
          <w14:ligatures w14:val="none"/>
        </w:rPr>
        <w:t>.</w:t>
      </w:r>
    </w:p>
    <w:p w14:paraId="303E0B86" w14:textId="03F05785" w:rsidR="00397424" w:rsidRDefault="00397424" w:rsidP="00397424">
      <w:pPr>
        <w:widowControl w:val="0"/>
        <w:spacing w:after="200" w:line="276" w:lineRule="auto"/>
        <w:ind w:left="462"/>
        <w:contextualSpacing/>
        <w:jc w:val="both"/>
        <w:rPr>
          <w:rFonts w:ascii="Times New Roman" w:eastAsia="Times New Roman" w:hAnsi="Times New Roman" w:cs="Times New Roman"/>
          <w:bCs/>
          <w:kern w:val="0"/>
          <w14:ligatures w14:val="none"/>
        </w:rPr>
      </w:pPr>
      <w:r>
        <w:rPr>
          <w:rFonts w:ascii="Times New Roman" w:eastAsia="Times New Roman" w:hAnsi="Times New Roman" w:cs="Times New Roman"/>
          <w:bCs/>
          <w:kern w:val="0"/>
          <w14:ligatures w14:val="none"/>
        </w:rPr>
        <w:t>Financiamiento fondos concursables del Instituto de Genética - TGN.</w:t>
      </w:r>
    </w:p>
    <w:p w14:paraId="32FF9C4B" w14:textId="53C10D59" w:rsidR="00850672" w:rsidRPr="00850672" w:rsidRDefault="00850672" w:rsidP="00397424">
      <w:pPr>
        <w:widowControl w:val="0"/>
        <w:spacing w:after="200" w:line="276" w:lineRule="auto"/>
        <w:ind w:left="462"/>
        <w:contextualSpacing/>
        <w:jc w:val="both"/>
        <w:rPr>
          <w:rFonts w:ascii="Times New Roman" w:eastAsia="Times New Roman" w:hAnsi="Times New Roman" w:cs="Times New Roman"/>
          <w:b/>
          <w:kern w:val="0"/>
          <w14:ligatures w14:val="none"/>
        </w:rPr>
      </w:pPr>
      <w:r w:rsidRPr="00850672">
        <w:rPr>
          <w:rFonts w:ascii="Times New Roman" w:eastAsia="Times New Roman" w:hAnsi="Times New Roman" w:cs="Times New Roman"/>
          <w:b/>
          <w:kern w:val="0"/>
          <w14:ligatures w14:val="none"/>
        </w:rPr>
        <w:t>Resumen</w:t>
      </w:r>
    </w:p>
    <w:p w14:paraId="7B0FBE52" w14:textId="77777777" w:rsidR="00850672" w:rsidRPr="00850672" w:rsidRDefault="00850672" w:rsidP="00850672">
      <w:pPr>
        <w:widowControl w:val="0"/>
        <w:spacing w:after="200" w:line="276" w:lineRule="auto"/>
        <w:ind w:left="462"/>
        <w:contextualSpacing/>
        <w:jc w:val="both"/>
        <w:rPr>
          <w:rFonts w:ascii="Times New Roman" w:eastAsia="Times New Roman" w:hAnsi="Times New Roman" w:cs="Times New Roman"/>
          <w:bCs/>
          <w:kern w:val="0"/>
          <w14:ligatures w14:val="none"/>
        </w:rPr>
      </w:pPr>
      <w:r w:rsidRPr="00850672">
        <w:rPr>
          <w:rFonts w:ascii="Times New Roman" w:eastAsia="Times New Roman" w:hAnsi="Times New Roman" w:cs="Times New Roman"/>
          <w:bCs/>
          <w:kern w:val="0"/>
          <w14:ligatures w14:val="none"/>
        </w:rPr>
        <w:t xml:space="preserve">Los telómeros son repeticiones de nucleótidos que protegen el final de los cromosomas eucariotas. La maquinaria para la replicación del ADN en eucariotas no puede replicar el extremo 3' de la cadena de ADN. Por tanto, cada vez que una célula se divide, los telómeros se acortan gradualmente. Para contrarrestar esto, los telómeros son alargados por la telomerasa. </w:t>
      </w:r>
      <w:proofErr w:type="gramStart"/>
      <w:r w:rsidRPr="00850672">
        <w:rPr>
          <w:rFonts w:ascii="Times New Roman" w:eastAsia="Times New Roman" w:hAnsi="Times New Roman" w:cs="Times New Roman"/>
          <w:bCs/>
          <w:kern w:val="0"/>
          <w14:ligatures w14:val="none"/>
        </w:rPr>
        <w:t>El acortamiento gradual de Los cromosomas pueden</w:t>
      </w:r>
      <w:proofErr w:type="gramEnd"/>
      <w:r w:rsidRPr="00850672">
        <w:rPr>
          <w:rFonts w:ascii="Times New Roman" w:eastAsia="Times New Roman" w:hAnsi="Times New Roman" w:cs="Times New Roman"/>
          <w:bCs/>
          <w:kern w:val="0"/>
          <w14:ligatures w14:val="none"/>
        </w:rPr>
        <w:t xml:space="preserve"> provocar inestabilidad genómica, mientras que los telómeros más largos confieren una capacidad replicativa extendida a las células vinculadas a la carcinogénesis. </w:t>
      </w:r>
    </w:p>
    <w:p w14:paraId="2605479A" w14:textId="77777777" w:rsidR="00850672" w:rsidRPr="00850672" w:rsidRDefault="00850672" w:rsidP="00850672">
      <w:pPr>
        <w:widowControl w:val="0"/>
        <w:spacing w:after="200" w:line="276" w:lineRule="auto"/>
        <w:ind w:left="462"/>
        <w:contextualSpacing/>
        <w:jc w:val="both"/>
        <w:rPr>
          <w:rFonts w:ascii="Times New Roman" w:eastAsia="Times New Roman" w:hAnsi="Times New Roman" w:cs="Times New Roman"/>
          <w:bCs/>
          <w:kern w:val="0"/>
          <w14:ligatures w14:val="none"/>
        </w:rPr>
      </w:pPr>
      <w:r w:rsidRPr="00850672">
        <w:rPr>
          <w:rFonts w:ascii="Times New Roman" w:eastAsia="Times New Roman" w:hAnsi="Times New Roman" w:cs="Times New Roman"/>
          <w:bCs/>
          <w:kern w:val="0"/>
          <w14:ligatures w14:val="none"/>
        </w:rPr>
        <w:t>Las exposiciones ambientales y ocupacionales asociadas con la longitud de los telómeros más cortos incluyen la contaminación del aire relacionada con el tráfico (es decir, partículas, carbono negro y benceno y tolueno), hidrocarburos aromáticos policíclicos, N-nitrosaminas, pesticidas, plomo, exposición en talleres mecánicos de automóviles y exposición a residuos peligrosos. El arsénico, los contaminantes orgánicos persistentes y la exposición a corto plazo a PM se asocian con una longitud de telómeros más prolongada.</w:t>
      </w:r>
    </w:p>
    <w:p w14:paraId="2B7C9024" w14:textId="3398A381" w:rsidR="00850672" w:rsidRDefault="00850672" w:rsidP="00850672">
      <w:pPr>
        <w:widowControl w:val="0"/>
        <w:spacing w:after="200" w:line="276" w:lineRule="auto"/>
        <w:ind w:left="462"/>
        <w:contextualSpacing/>
        <w:jc w:val="both"/>
        <w:rPr>
          <w:rFonts w:ascii="Times New Roman" w:eastAsia="Times New Roman" w:hAnsi="Times New Roman" w:cs="Times New Roman"/>
          <w:bCs/>
          <w:kern w:val="0"/>
          <w14:ligatures w14:val="none"/>
        </w:rPr>
      </w:pPr>
      <w:r w:rsidRPr="00850672">
        <w:rPr>
          <w:rFonts w:ascii="Times New Roman" w:eastAsia="Times New Roman" w:hAnsi="Times New Roman" w:cs="Times New Roman"/>
          <w:bCs/>
          <w:kern w:val="0"/>
          <w14:ligatures w14:val="none"/>
        </w:rPr>
        <w:t>El presente proyecto pretende Implementar dos técnicas para evaluar la longitud de los telómeros para su aplicación en evaluación de las exposiciones ambientales y ocupacionales en exposiciones a diferentes genotóxicos ambientales relacionados con el envejecimiento y el cáncer asociadas con la longitud de los telómeros.</w:t>
      </w:r>
    </w:p>
    <w:p w14:paraId="2CB23221" w14:textId="77777777" w:rsidR="00850672" w:rsidRDefault="00850672" w:rsidP="00397424">
      <w:pPr>
        <w:widowControl w:val="0"/>
        <w:spacing w:after="200" w:line="276" w:lineRule="auto"/>
        <w:ind w:left="462"/>
        <w:contextualSpacing/>
        <w:jc w:val="both"/>
        <w:rPr>
          <w:rFonts w:ascii="Times New Roman" w:eastAsia="Times New Roman" w:hAnsi="Times New Roman" w:cs="Times New Roman"/>
          <w:bCs/>
          <w:kern w:val="0"/>
          <w14:ligatures w14:val="none"/>
        </w:rPr>
      </w:pPr>
    </w:p>
    <w:p w14:paraId="0DC39D33" w14:textId="77777777" w:rsidR="007D138E" w:rsidRDefault="00751ABF" w:rsidP="00751ABF">
      <w:pPr>
        <w:widowControl w:val="0"/>
        <w:numPr>
          <w:ilvl w:val="0"/>
          <w:numId w:val="1"/>
        </w:numPr>
        <w:spacing w:after="200" w:line="276" w:lineRule="auto"/>
        <w:contextualSpacing/>
        <w:jc w:val="both"/>
        <w:rPr>
          <w:rFonts w:ascii="Times New Roman" w:eastAsia="Times New Roman" w:hAnsi="Times New Roman" w:cs="Times New Roman"/>
          <w:b/>
          <w:kern w:val="0"/>
          <w14:ligatures w14:val="none"/>
        </w:rPr>
      </w:pPr>
      <w:r w:rsidRPr="00751ABF">
        <w:rPr>
          <w:rFonts w:ascii="Times New Roman" w:eastAsia="Times New Roman" w:hAnsi="Times New Roman" w:cs="Times New Roman"/>
          <w:b/>
          <w:kern w:val="0"/>
          <w14:ligatures w14:val="none"/>
        </w:rPr>
        <w:t xml:space="preserve">Mecanismo de resiliencia Ayllu para enfrentar los efectos del cambio climático a partir del diálogo de saberes de los conocimientos locales en combinación con tecnologías innovadoras para fortalecer la seguridad alimentaria en la comunidad de Micaya, Municipio de </w:t>
      </w:r>
      <w:proofErr w:type="spellStart"/>
      <w:r w:rsidRPr="00751ABF">
        <w:rPr>
          <w:rFonts w:ascii="Times New Roman" w:eastAsia="Times New Roman" w:hAnsi="Times New Roman" w:cs="Times New Roman"/>
          <w:b/>
          <w:kern w:val="0"/>
          <w14:ligatures w14:val="none"/>
        </w:rPr>
        <w:t>Colquencha</w:t>
      </w:r>
      <w:proofErr w:type="spellEnd"/>
      <w:r w:rsidRPr="00751ABF">
        <w:rPr>
          <w:rFonts w:ascii="Times New Roman" w:eastAsia="Times New Roman" w:hAnsi="Times New Roman" w:cs="Times New Roman"/>
          <w:b/>
          <w:kern w:val="0"/>
          <w14:ligatures w14:val="none"/>
        </w:rPr>
        <w:t xml:space="preserve">-La Paz, Bolivia </w:t>
      </w:r>
    </w:p>
    <w:p w14:paraId="76FB51CB" w14:textId="77777777" w:rsidR="007D138E" w:rsidRDefault="007D138E" w:rsidP="007D138E">
      <w:pPr>
        <w:widowControl w:val="0"/>
        <w:spacing w:after="200" w:line="276" w:lineRule="auto"/>
        <w:ind w:left="462"/>
        <w:contextualSpacing/>
        <w:jc w:val="both"/>
        <w:rPr>
          <w:rFonts w:ascii="Times New Roman" w:eastAsia="Times New Roman" w:hAnsi="Times New Roman" w:cs="Times New Roman"/>
          <w:b/>
          <w:kern w:val="0"/>
          <w14:ligatures w14:val="none"/>
        </w:rPr>
      </w:pPr>
    </w:p>
    <w:p w14:paraId="267268DA" w14:textId="227DBDFA" w:rsidR="00751ABF" w:rsidRDefault="00751ABF" w:rsidP="007D138E">
      <w:pPr>
        <w:widowControl w:val="0"/>
        <w:spacing w:after="200" w:line="276" w:lineRule="auto"/>
        <w:ind w:left="462"/>
        <w:contextualSpacing/>
        <w:jc w:val="both"/>
        <w:rPr>
          <w:rFonts w:ascii="Times New Roman" w:eastAsia="Times New Roman" w:hAnsi="Times New Roman" w:cs="Times New Roman"/>
          <w:bCs/>
          <w:kern w:val="0"/>
          <w14:ligatures w14:val="none"/>
        </w:rPr>
      </w:pPr>
      <w:r w:rsidRPr="00751ABF">
        <w:rPr>
          <w:rFonts w:ascii="Times New Roman" w:eastAsia="Times New Roman" w:hAnsi="Times New Roman" w:cs="Times New Roman"/>
          <w:bCs/>
          <w:kern w:val="0"/>
          <w14:ligatures w14:val="none"/>
        </w:rPr>
        <w:t>financiación en la convocatoria de fondos semilla del Instituto Interamericano para la Investigación del Cambio Global (IAI): Respuesta en Clima y Ambiente para la Salud en las Américas, 2023 – 202</w:t>
      </w:r>
      <w:r w:rsidRPr="007D138E">
        <w:rPr>
          <w:rFonts w:ascii="Times New Roman" w:eastAsia="Times New Roman" w:hAnsi="Times New Roman" w:cs="Times New Roman"/>
          <w:bCs/>
          <w:kern w:val="0"/>
          <w14:ligatures w14:val="none"/>
        </w:rPr>
        <w:t>5</w:t>
      </w:r>
      <w:r w:rsidRPr="00751ABF">
        <w:rPr>
          <w:rFonts w:ascii="Times New Roman" w:eastAsia="Times New Roman" w:hAnsi="Times New Roman" w:cs="Times New Roman"/>
          <w:bCs/>
          <w:kern w:val="0"/>
          <w14:ligatures w14:val="none"/>
        </w:rPr>
        <w:t>.</w:t>
      </w:r>
      <w:r w:rsidRPr="007D138E">
        <w:rPr>
          <w:rFonts w:ascii="Times New Roman" w:eastAsia="Times New Roman" w:hAnsi="Times New Roman" w:cs="Times New Roman"/>
          <w:bCs/>
          <w:kern w:val="0"/>
          <w14:ligatures w14:val="none"/>
        </w:rPr>
        <w:t xml:space="preserve"> </w:t>
      </w:r>
    </w:p>
    <w:p w14:paraId="5D1A41E6" w14:textId="77777777" w:rsidR="007D138E" w:rsidRDefault="007D138E" w:rsidP="007D138E">
      <w:pPr>
        <w:widowControl w:val="0"/>
        <w:spacing w:after="200" w:line="276" w:lineRule="auto"/>
        <w:ind w:left="462"/>
        <w:contextualSpacing/>
        <w:jc w:val="both"/>
        <w:rPr>
          <w:rFonts w:ascii="Times New Roman" w:eastAsia="Times New Roman" w:hAnsi="Times New Roman" w:cs="Times New Roman"/>
          <w:bCs/>
          <w:kern w:val="0"/>
          <w14:ligatures w14:val="none"/>
        </w:rPr>
      </w:pPr>
    </w:p>
    <w:p w14:paraId="7C59A572" w14:textId="27DD020B" w:rsidR="007D138E" w:rsidRPr="007D138E" w:rsidRDefault="007D138E" w:rsidP="007D138E">
      <w:pPr>
        <w:widowControl w:val="0"/>
        <w:spacing w:after="200" w:line="276" w:lineRule="auto"/>
        <w:ind w:left="462"/>
        <w:contextualSpacing/>
        <w:jc w:val="both"/>
        <w:rPr>
          <w:rFonts w:ascii="Times New Roman" w:eastAsia="Times New Roman" w:hAnsi="Times New Roman" w:cs="Times New Roman"/>
          <w:b/>
          <w:kern w:val="0"/>
          <w14:ligatures w14:val="none"/>
        </w:rPr>
      </w:pPr>
      <w:r w:rsidRPr="007D138E">
        <w:rPr>
          <w:rFonts w:ascii="Times New Roman" w:eastAsia="Times New Roman" w:hAnsi="Times New Roman" w:cs="Times New Roman"/>
          <w:b/>
          <w:kern w:val="0"/>
          <w14:ligatures w14:val="none"/>
        </w:rPr>
        <w:t>Resumen.</w:t>
      </w:r>
    </w:p>
    <w:p w14:paraId="09742DA1" w14:textId="77777777" w:rsidR="007D138E" w:rsidRDefault="007D138E" w:rsidP="007D138E">
      <w:pPr>
        <w:widowControl w:val="0"/>
        <w:spacing w:after="200" w:line="276" w:lineRule="auto"/>
        <w:ind w:left="462"/>
        <w:contextualSpacing/>
        <w:jc w:val="both"/>
        <w:rPr>
          <w:rFonts w:ascii="Times New Roman" w:eastAsia="Times New Roman" w:hAnsi="Times New Roman" w:cs="Times New Roman"/>
          <w:bCs/>
          <w:kern w:val="0"/>
          <w14:ligatures w14:val="none"/>
        </w:rPr>
      </w:pPr>
    </w:p>
    <w:p w14:paraId="67CFCB77" w14:textId="247C3015" w:rsidR="007D138E" w:rsidRDefault="007D138E" w:rsidP="007D138E">
      <w:pPr>
        <w:spacing w:after="288" w:line="240" w:lineRule="auto"/>
        <w:jc w:val="both"/>
        <w:rPr>
          <w:bCs/>
          <w:strike/>
          <w:lang w:val="es-ES"/>
        </w:rPr>
      </w:pPr>
      <w:r>
        <w:rPr>
          <w:bCs/>
          <w:lang w:val="es-ES"/>
        </w:rPr>
        <w:t xml:space="preserve">El Proyecto Mecanismo de resiliencia Ayllu para enfrentar los efectos del cambio climático a través del diálogo de saberes de los conocimientos locales en combinación con tecnologías innovadoras de seguridad alimentaria en la comunidad de Micaya del Municipio de Colquechaca, pretende investigar las consecuencias de la implementación de un mecanismo de resiliencia, con base en el manejo de suelos en sinergia con el diálogo de saberes y los componentes: sistemas de producción, gestión psicosocial, educación, alimentación, nutrición y </w:t>
      </w:r>
      <w:proofErr w:type="spellStart"/>
      <w:r>
        <w:rPr>
          <w:bCs/>
          <w:lang w:val="es-ES"/>
        </w:rPr>
        <w:t>ecosalud</w:t>
      </w:r>
      <w:proofErr w:type="spellEnd"/>
      <w:r>
        <w:rPr>
          <w:bCs/>
          <w:lang w:val="es-ES"/>
        </w:rPr>
        <w:t xml:space="preserve">. Dicho mecanismo se basa en su sistema de vida tipo ayllu, que les permite el manejo adecuado de suelos para el desarrollo de los sistemas productivos, aplicando tecnologías ancestrales complementándose con tecnologías innovadoras (uso de dosificadores zeolíticos, barreras vivas y abonos orgánicos). El mecanismo impactará de manera positiva en el sistema de producción agrícola, conduciendo a fortalecer los esquemas de mejores prácticas manteniendo el sistema natural, garantizando una efectiva resiliencia frente al cambio climático y mejorando sus condiciones de vida en lo que respecta a una alimentación con productos altamente nutritivos </w:t>
      </w:r>
      <w:r>
        <w:rPr>
          <w:bCs/>
          <w:lang w:val="es-ES"/>
        </w:rPr>
        <w:lastRenderedPageBreak/>
        <w:t xml:space="preserve">que permitan fortalecer los cuatro pilares de la seguridad alimentaria (Disponibilidad, acceso, utilización y estabilidad) los cuales repercuten en un buen estado de salud de la población. Se utilizará el enfoque transdisciplinar de manera coordinada entre investigadores de diferentes disciplinas, autoridades originarias y municipales y otros organismos a asociados al proyecto de investigación </w:t>
      </w:r>
      <w:r>
        <w:rPr>
          <w:bCs/>
          <w:color w:val="000000" w:themeColor="text1"/>
          <w:lang w:val="es-ES"/>
        </w:rPr>
        <w:t xml:space="preserve">(OAPI) </w:t>
      </w:r>
      <w:r>
        <w:rPr>
          <w:bCs/>
          <w:lang w:val="es-ES"/>
        </w:rPr>
        <w:t>mediante el uso del dialogo de saberes y las resignificaciones.</w:t>
      </w:r>
    </w:p>
    <w:p w14:paraId="31102B87" w14:textId="77777777" w:rsidR="007D138E" w:rsidRPr="007D138E" w:rsidRDefault="007D138E" w:rsidP="007D138E">
      <w:pPr>
        <w:widowControl w:val="0"/>
        <w:spacing w:after="200" w:line="276" w:lineRule="auto"/>
        <w:ind w:left="462"/>
        <w:contextualSpacing/>
        <w:jc w:val="both"/>
        <w:rPr>
          <w:rFonts w:ascii="Times New Roman" w:eastAsia="Times New Roman" w:hAnsi="Times New Roman" w:cs="Times New Roman"/>
          <w:bCs/>
          <w:kern w:val="0"/>
          <w:lang w:val="es-ES"/>
          <w14:ligatures w14:val="none"/>
        </w:rPr>
      </w:pPr>
    </w:p>
    <w:p w14:paraId="5D74185D" w14:textId="7DF8C52B" w:rsidR="00751ABF" w:rsidRDefault="00751ABF" w:rsidP="00751ABF">
      <w:pPr>
        <w:widowControl w:val="0"/>
        <w:numPr>
          <w:ilvl w:val="0"/>
          <w:numId w:val="1"/>
        </w:numPr>
        <w:spacing w:after="200" w:line="276" w:lineRule="auto"/>
        <w:contextualSpacing/>
        <w:jc w:val="both"/>
        <w:rPr>
          <w:b/>
          <w:lang w:val="es-ES"/>
        </w:rPr>
      </w:pPr>
      <w:proofErr w:type="spellStart"/>
      <w:r w:rsidRPr="007D138E">
        <w:rPr>
          <w:b/>
          <w:lang w:val="es-ES"/>
        </w:rPr>
        <w:t>Microtoxbol</w:t>
      </w:r>
      <w:proofErr w:type="spellEnd"/>
      <w:r w:rsidRPr="007D138E">
        <w:rPr>
          <w:b/>
          <w:lang w:val="es-ES"/>
        </w:rPr>
        <w:t xml:space="preserve">: Una red que aborda la exposición ambiental y los efectos en la salud de metales y plaguicidas, financiado por el </w:t>
      </w:r>
      <w:proofErr w:type="spellStart"/>
      <w:r w:rsidRPr="007D138E">
        <w:rPr>
          <w:b/>
          <w:lang w:val="es-ES"/>
        </w:rPr>
        <w:t>Swedish</w:t>
      </w:r>
      <w:proofErr w:type="spellEnd"/>
      <w:r w:rsidRPr="007D138E">
        <w:rPr>
          <w:b/>
          <w:lang w:val="es-ES"/>
        </w:rPr>
        <w:t xml:space="preserve"> </w:t>
      </w:r>
      <w:proofErr w:type="spellStart"/>
      <w:r w:rsidR="007D138E" w:rsidRPr="007D138E">
        <w:rPr>
          <w:b/>
          <w:lang w:val="es-ES"/>
        </w:rPr>
        <w:t>Research</w:t>
      </w:r>
      <w:proofErr w:type="spellEnd"/>
      <w:r w:rsidR="007D138E" w:rsidRPr="007D138E">
        <w:rPr>
          <w:b/>
          <w:lang w:val="es-ES"/>
        </w:rPr>
        <w:t xml:space="preserve"> Council</w:t>
      </w:r>
      <w:r w:rsidRPr="007D138E">
        <w:rPr>
          <w:b/>
          <w:lang w:val="es-ES"/>
        </w:rPr>
        <w:t>, 2020 – 2021, con ampliación al 2025.</w:t>
      </w:r>
    </w:p>
    <w:p w14:paraId="7BF6C72D" w14:textId="6B525E48" w:rsidR="007D138E" w:rsidRDefault="007D138E" w:rsidP="007D138E">
      <w:pPr>
        <w:widowControl w:val="0"/>
        <w:spacing w:after="200" w:line="276" w:lineRule="auto"/>
        <w:contextualSpacing/>
        <w:jc w:val="both"/>
        <w:rPr>
          <w:bCs/>
          <w:lang w:val="es-ES"/>
        </w:rPr>
      </w:pPr>
      <w:r w:rsidRPr="007D138E">
        <w:rPr>
          <w:bCs/>
          <w:lang w:val="es-ES"/>
        </w:rPr>
        <w:t xml:space="preserve">Financiamiento del </w:t>
      </w:r>
      <w:proofErr w:type="spellStart"/>
      <w:r w:rsidRPr="007D138E">
        <w:rPr>
          <w:bCs/>
          <w:lang w:val="es-ES"/>
        </w:rPr>
        <w:t>Swedish</w:t>
      </w:r>
      <w:proofErr w:type="spellEnd"/>
      <w:r w:rsidRPr="007D138E">
        <w:rPr>
          <w:bCs/>
          <w:lang w:val="es-ES"/>
        </w:rPr>
        <w:t xml:space="preserve"> </w:t>
      </w:r>
      <w:proofErr w:type="spellStart"/>
      <w:r w:rsidRPr="007D138E">
        <w:rPr>
          <w:bCs/>
          <w:lang w:val="es-ES"/>
        </w:rPr>
        <w:t>Research</w:t>
      </w:r>
      <w:proofErr w:type="spellEnd"/>
      <w:r w:rsidRPr="007D138E">
        <w:rPr>
          <w:bCs/>
          <w:lang w:val="es-ES"/>
        </w:rPr>
        <w:t xml:space="preserve"> Council (Suecia)</w:t>
      </w:r>
    </w:p>
    <w:p w14:paraId="626CB776" w14:textId="77777777" w:rsidR="007D138E" w:rsidRDefault="007D138E" w:rsidP="007D138E">
      <w:pPr>
        <w:widowControl w:val="0"/>
        <w:spacing w:after="200" w:line="276" w:lineRule="auto"/>
        <w:contextualSpacing/>
        <w:jc w:val="both"/>
        <w:rPr>
          <w:bCs/>
          <w:lang w:val="es-ES"/>
        </w:rPr>
      </w:pPr>
    </w:p>
    <w:p w14:paraId="23F5BC62" w14:textId="77777777" w:rsidR="00ED7764" w:rsidRDefault="00ED7764" w:rsidP="007D138E">
      <w:pPr>
        <w:widowControl w:val="0"/>
        <w:spacing w:after="200" w:line="276" w:lineRule="auto"/>
        <w:contextualSpacing/>
        <w:jc w:val="both"/>
        <w:rPr>
          <w:bCs/>
          <w:lang w:val="es-ES"/>
        </w:rPr>
      </w:pPr>
    </w:p>
    <w:p w14:paraId="730C45EE" w14:textId="77777777" w:rsidR="00ED7764" w:rsidRDefault="00ED7764" w:rsidP="007D138E">
      <w:pPr>
        <w:widowControl w:val="0"/>
        <w:spacing w:after="200" w:line="276" w:lineRule="auto"/>
        <w:contextualSpacing/>
        <w:jc w:val="both"/>
        <w:rPr>
          <w:bCs/>
          <w:lang w:val="es-ES"/>
        </w:rPr>
      </w:pPr>
    </w:p>
    <w:p w14:paraId="1404F61C" w14:textId="77777777" w:rsidR="00ED7764" w:rsidRDefault="00ED7764" w:rsidP="007D138E">
      <w:pPr>
        <w:widowControl w:val="0"/>
        <w:spacing w:after="200" w:line="276" w:lineRule="auto"/>
        <w:contextualSpacing/>
        <w:jc w:val="both"/>
        <w:rPr>
          <w:bCs/>
          <w:lang w:val="es-ES"/>
        </w:rPr>
      </w:pPr>
    </w:p>
    <w:p w14:paraId="60C3C6B4" w14:textId="77777777" w:rsidR="00ED7764" w:rsidRDefault="00ED7764" w:rsidP="007D138E">
      <w:pPr>
        <w:widowControl w:val="0"/>
        <w:spacing w:after="200" w:line="276" w:lineRule="auto"/>
        <w:contextualSpacing/>
        <w:jc w:val="both"/>
        <w:rPr>
          <w:bCs/>
          <w:lang w:val="es-ES"/>
        </w:rPr>
      </w:pPr>
    </w:p>
    <w:p w14:paraId="6F05E1F6" w14:textId="77777777" w:rsidR="007D138E" w:rsidRPr="00751ABF" w:rsidRDefault="007D138E" w:rsidP="00751ABF">
      <w:pPr>
        <w:widowControl w:val="0"/>
        <w:spacing w:after="200" w:line="276" w:lineRule="auto"/>
        <w:ind w:left="462"/>
        <w:contextualSpacing/>
        <w:jc w:val="both"/>
        <w:rPr>
          <w:bCs/>
          <w:lang w:val="es-ES"/>
        </w:rPr>
      </w:pPr>
    </w:p>
    <w:p w14:paraId="1B97D9C5" w14:textId="77777777" w:rsidR="00C633FE" w:rsidRDefault="00C633FE" w:rsidP="00751ABF">
      <w:pPr>
        <w:jc w:val="both"/>
      </w:pPr>
    </w:p>
    <w:sectPr w:rsidR="00C633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560B2"/>
    <w:multiLevelType w:val="hybridMultilevel"/>
    <w:tmpl w:val="ACC44712"/>
    <w:lvl w:ilvl="0" w:tplc="2D1866A0">
      <w:numFmt w:val="bullet"/>
      <w:lvlText w:val="-"/>
      <w:lvlJc w:val="left"/>
      <w:pPr>
        <w:tabs>
          <w:tab w:val="num" w:pos="462"/>
        </w:tabs>
        <w:ind w:left="462" w:hanging="360"/>
      </w:pPr>
      <w:rPr>
        <w:rFonts w:hint="default"/>
      </w:rPr>
    </w:lvl>
    <w:lvl w:ilvl="1" w:tplc="0C0A0003" w:tentative="1">
      <w:start w:val="1"/>
      <w:numFmt w:val="bullet"/>
      <w:lvlText w:val="o"/>
      <w:lvlJc w:val="left"/>
      <w:pPr>
        <w:ind w:left="1542" w:hanging="360"/>
      </w:pPr>
      <w:rPr>
        <w:rFonts w:ascii="Courier New" w:hAnsi="Courier New" w:cs="Courier New" w:hint="default"/>
      </w:rPr>
    </w:lvl>
    <w:lvl w:ilvl="2" w:tplc="0C0A0005" w:tentative="1">
      <w:start w:val="1"/>
      <w:numFmt w:val="bullet"/>
      <w:lvlText w:val=""/>
      <w:lvlJc w:val="left"/>
      <w:pPr>
        <w:ind w:left="2262" w:hanging="360"/>
      </w:pPr>
      <w:rPr>
        <w:rFonts w:ascii="Wingdings" w:hAnsi="Wingdings" w:hint="default"/>
      </w:rPr>
    </w:lvl>
    <w:lvl w:ilvl="3" w:tplc="0C0A0001" w:tentative="1">
      <w:start w:val="1"/>
      <w:numFmt w:val="bullet"/>
      <w:lvlText w:val=""/>
      <w:lvlJc w:val="left"/>
      <w:pPr>
        <w:ind w:left="2982" w:hanging="360"/>
      </w:pPr>
      <w:rPr>
        <w:rFonts w:ascii="Symbol" w:hAnsi="Symbol" w:hint="default"/>
      </w:rPr>
    </w:lvl>
    <w:lvl w:ilvl="4" w:tplc="0C0A0003" w:tentative="1">
      <w:start w:val="1"/>
      <w:numFmt w:val="bullet"/>
      <w:lvlText w:val="o"/>
      <w:lvlJc w:val="left"/>
      <w:pPr>
        <w:ind w:left="3702" w:hanging="360"/>
      </w:pPr>
      <w:rPr>
        <w:rFonts w:ascii="Courier New" w:hAnsi="Courier New" w:cs="Courier New" w:hint="default"/>
      </w:rPr>
    </w:lvl>
    <w:lvl w:ilvl="5" w:tplc="0C0A0005" w:tentative="1">
      <w:start w:val="1"/>
      <w:numFmt w:val="bullet"/>
      <w:lvlText w:val=""/>
      <w:lvlJc w:val="left"/>
      <w:pPr>
        <w:ind w:left="4422" w:hanging="360"/>
      </w:pPr>
      <w:rPr>
        <w:rFonts w:ascii="Wingdings" w:hAnsi="Wingdings" w:hint="default"/>
      </w:rPr>
    </w:lvl>
    <w:lvl w:ilvl="6" w:tplc="0C0A0001" w:tentative="1">
      <w:start w:val="1"/>
      <w:numFmt w:val="bullet"/>
      <w:lvlText w:val=""/>
      <w:lvlJc w:val="left"/>
      <w:pPr>
        <w:ind w:left="5142" w:hanging="360"/>
      </w:pPr>
      <w:rPr>
        <w:rFonts w:ascii="Symbol" w:hAnsi="Symbol" w:hint="default"/>
      </w:rPr>
    </w:lvl>
    <w:lvl w:ilvl="7" w:tplc="0C0A0003" w:tentative="1">
      <w:start w:val="1"/>
      <w:numFmt w:val="bullet"/>
      <w:lvlText w:val="o"/>
      <w:lvlJc w:val="left"/>
      <w:pPr>
        <w:ind w:left="5862" w:hanging="360"/>
      </w:pPr>
      <w:rPr>
        <w:rFonts w:ascii="Courier New" w:hAnsi="Courier New" w:cs="Courier New" w:hint="default"/>
      </w:rPr>
    </w:lvl>
    <w:lvl w:ilvl="8" w:tplc="0C0A0005" w:tentative="1">
      <w:start w:val="1"/>
      <w:numFmt w:val="bullet"/>
      <w:lvlText w:val=""/>
      <w:lvlJc w:val="left"/>
      <w:pPr>
        <w:ind w:left="6582" w:hanging="360"/>
      </w:pPr>
      <w:rPr>
        <w:rFonts w:ascii="Wingdings" w:hAnsi="Wingdings" w:hint="default"/>
      </w:rPr>
    </w:lvl>
  </w:abstractNum>
  <w:num w:numId="1" w16cid:durableId="169765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BF"/>
    <w:rsid w:val="00397424"/>
    <w:rsid w:val="00455455"/>
    <w:rsid w:val="004B55EA"/>
    <w:rsid w:val="006B4C80"/>
    <w:rsid w:val="006F1E32"/>
    <w:rsid w:val="00751ABF"/>
    <w:rsid w:val="007D138E"/>
    <w:rsid w:val="00850672"/>
    <w:rsid w:val="00A324A2"/>
    <w:rsid w:val="00C633FE"/>
    <w:rsid w:val="00D7181B"/>
    <w:rsid w:val="00ED7764"/>
    <w:rsid w:val="00F10B3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1BE0F"/>
  <w15:chartTrackingRefBased/>
  <w15:docId w15:val="{6AC4EF58-397A-492C-87D5-1583472EB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1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51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51AB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51AB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51AB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51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1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1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1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1AB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51AB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51AB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51AB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51AB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51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1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1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1ABF"/>
    <w:rPr>
      <w:rFonts w:eastAsiaTheme="majorEastAsia" w:cstheme="majorBidi"/>
      <w:color w:val="272727" w:themeColor="text1" w:themeTint="D8"/>
    </w:rPr>
  </w:style>
  <w:style w:type="paragraph" w:styleId="Ttulo">
    <w:name w:val="Title"/>
    <w:basedOn w:val="Normal"/>
    <w:next w:val="Normal"/>
    <w:link w:val="TtuloCar"/>
    <w:uiPriority w:val="10"/>
    <w:qFormat/>
    <w:rsid w:val="0075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1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1A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1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1ABF"/>
    <w:pPr>
      <w:spacing w:before="160"/>
      <w:jc w:val="center"/>
    </w:pPr>
    <w:rPr>
      <w:i/>
      <w:iCs/>
      <w:color w:val="404040" w:themeColor="text1" w:themeTint="BF"/>
    </w:rPr>
  </w:style>
  <w:style w:type="character" w:customStyle="1" w:styleId="CitaCar">
    <w:name w:val="Cita Car"/>
    <w:basedOn w:val="Fuentedeprrafopredeter"/>
    <w:link w:val="Cita"/>
    <w:uiPriority w:val="29"/>
    <w:rsid w:val="00751ABF"/>
    <w:rPr>
      <w:i/>
      <w:iCs/>
      <w:color w:val="404040" w:themeColor="text1" w:themeTint="BF"/>
    </w:rPr>
  </w:style>
  <w:style w:type="paragraph" w:styleId="Prrafodelista">
    <w:name w:val="List Paragraph"/>
    <w:basedOn w:val="Normal"/>
    <w:uiPriority w:val="34"/>
    <w:qFormat/>
    <w:rsid w:val="00751ABF"/>
    <w:pPr>
      <w:ind w:left="720"/>
      <w:contextualSpacing/>
    </w:pPr>
  </w:style>
  <w:style w:type="character" w:styleId="nfasisintenso">
    <w:name w:val="Intense Emphasis"/>
    <w:basedOn w:val="Fuentedeprrafopredeter"/>
    <w:uiPriority w:val="21"/>
    <w:qFormat/>
    <w:rsid w:val="00751ABF"/>
    <w:rPr>
      <w:i/>
      <w:iCs/>
      <w:color w:val="2F5496" w:themeColor="accent1" w:themeShade="BF"/>
    </w:rPr>
  </w:style>
  <w:style w:type="paragraph" w:styleId="Citadestacada">
    <w:name w:val="Intense Quote"/>
    <w:basedOn w:val="Normal"/>
    <w:next w:val="Normal"/>
    <w:link w:val="CitadestacadaCar"/>
    <w:uiPriority w:val="30"/>
    <w:qFormat/>
    <w:rsid w:val="00751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51ABF"/>
    <w:rPr>
      <w:i/>
      <w:iCs/>
      <w:color w:val="2F5496" w:themeColor="accent1" w:themeShade="BF"/>
    </w:rPr>
  </w:style>
  <w:style w:type="character" w:styleId="Referenciaintensa">
    <w:name w:val="Intense Reference"/>
    <w:basedOn w:val="Fuentedeprrafopredeter"/>
    <w:uiPriority w:val="32"/>
    <w:qFormat/>
    <w:rsid w:val="00751A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635</Words>
  <Characters>3497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Noemi Tirado Bustillos</dc:creator>
  <cp:keywords/>
  <dc:description/>
  <cp:lastModifiedBy>Noemi Tirado Bustillos</cp:lastModifiedBy>
  <cp:revision>4</cp:revision>
  <dcterms:created xsi:type="dcterms:W3CDTF">2025-02-10T16:11:00Z</dcterms:created>
  <dcterms:modified xsi:type="dcterms:W3CDTF">2025-02-11T16:41:00Z</dcterms:modified>
</cp:coreProperties>
</file>