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管理者短视的 NLP 测度构建及其对企业长期投资的影响研究</w:t>
      </w:r>
    </w:p>
    <w:p>
      <w:pPr>
        <w:spacing w:before="280" w:after="160"/>
        <w:jc w:val="center"/>
      </w:pPr>
      <w:r>
        <w:rPr>
          <w:rFonts w:ascii="黑体" w:hAnsi="黑体" w:eastAsia="黑体"/>
          <w:b/>
          <w:sz w:val="32"/>
        </w:rPr>
        <w:t>——基于辽宁省 A 股上市公司年报 MD&amp;A 的实证</w:t>
      </w:r>
    </w:p>
    <w:p>
      <w:pPr>
        <w:spacing w:line="360" w:lineRule="auto" w:after="120"/>
        <w:ind w:firstLine="480"/>
      </w:pPr>
      <w:r>
        <w:rPr>
          <w:rFonts w:ascii="宋体" w:hAnsi="宋体" w:eastAsia="宋体"/>
          <w:b/>
          <w:sz w:val="24"/>
        </w:rPr>
        <w:t>2026 届本科毕业论文（设计）· 方法预演稿</w:t>
      </w:r>
    </w:p>
    <w:p>
      <w:pPr>
        <w:spacing w:line="360" w:lineRule="auto" w:after="120"/>
        <w:ind w:firstLine="480"/>
      </w:pPr>
      <w:r>
        <w:rPr>
          <w:rFonts w:ascii="宋体" w:hAnsi="宋体" w:eastAsia="宋体"/>
          <w:b w:val="0"/>
          <w:sz w:val="24"/>
        </w:rPr>
        <w:t>大连财经学院 大数据与人工智能学院 · 大数据管理与应用专业</w:t>
      </w:r>
    </w:p>
    <w:p>
      <w:pPr>
        <w:spacing w:before="280" w:after="160"/>
        <w:jc w:val="center"/>
      </w:pPr>
      <w:r>
        <w:rPr>
          <w:rFonts w:ascii="黑体" w:hAnsi="黑体" w:eastAsia="黑体"/>
          <w:b/>
          <w:sz w:val="32"/>
        </w:rPr>
        <w:t>摘要</w:t>
      </w:r>
    </w:p>
    <w:p>
      <w:pPr>
        <w:spacing w:line="360" w:lineRule="auto" w:after="120"/>
        <w:ind w:firstLine="480"/>
      </w:pPr>
      <w:r>
        <w:rPr>
          <w:rFonts w:ascii="宋体" w:hAnsi="宋体" w:eastAsia="宋体"/>
          <w:b w:val="0"/>
          <w:sz w:val="24"/>
        </w:rPr>
        <w:t>管理者必须在当期业绩与长期竞争力之间分配有限资源，其决策视野的"长短"长期被认为决定了企业创新投入的强度。由于"短视"无法直接观测，管理学研究通常以文本测度作为代理变量。本文以辽宁省 70 家 A 股上市公司 2018—2025 年的年度报告为语料，提取"管理层讨论与分析"（MD&amp;A）章节共 477 篇文档、约 240 万有效词，严格按照"语料获取—文本预处理—特征提取—指标构建—信效度检验"五步主线，尝试构建管理者短视的 NLP 测度，并检验其对研发投入强度的影响。</w:t>
      </w:r>
    </w:p>
    <w:p>
      <w:pPr>
        <w:spacing w:line="360" w:lineRule="auto" w:after="120"/>
        <w:ind w:firstLine="480"/>
      </w:pPr>
      <w:r>
        <w:rPr>
          <w:rFonts w:ascii="宋体" w:hAnsi="宋体" w:eastAsia="宋体"/>
          <w:b w:val="0"/>
          <w:sz w:val="24"/>
        </w:rPr>
        <w:t>研究得到三项结论。</w:t>
      </w:r>
      <w:r>
        <w:rPr>
          <w:rFonts w:ascii="宋体" w:hAnsi="宋体" w:eastAsia="宋体"/>
          <w:b/>
          <w:sz w:val="24"/>
        </w:rPr>
        <w:t>第一，直接移植词典法的表层词频测度在本土化语料上无法通过内容效度检验</w:t>
      </w:r>
      <w:r>
        <w:rPr>
          <w:rFonts w:ascii="宋体" w:hAnsi="宋体" w:eastAsia="宋体"/>
          <w:b w:val="0"/>
          <w:sz w:val="24"/>
        </w:rPr>
        <w:t>：43 词初始词典的 2 085 次命中中，人工判读确认语义相符者严格口径仅约 5.8%，绝大多数来自"短期借款""闲置募集资金暂时补充流动资金""临时股东大会"等法定披露套话；经邻近语境剔除后命中量下降 82.9%，但剩余短视语在全部有效词中的占比仅约 0.014%，过于稀疏。</w:t>
      </w:r>
      <w:r>
        <w:rPr>
          <w:rFonts w:ascii="宋体" w:hAnsi="宋体" w:eastAsia="宋体"/>
          <w:b/>
          <w:sz w:val="24"/>
        </w:rPr>
        <w:t>第二，本文据此将构念修正为"净时间视野"（Net Time Horizon, NTH），即短期视域语与长期视域语在 MD&amp;A 中的相对强度差</w:t>
      </w:r>
      <w:r>
        <w:rPr>
          <w:rFonts w:ascii="宋体" w:hAnsi="宋体" w:eastAsia="宋体"/>
          <w:b w:val="0"/>
          <w:sz w:val="24"/>
        </w:rPr>
        <w:t>；该测度与词嵌入路线显著正相关（r = 0.307，p &lt; 0.01），与公司规模、资产负债率、资产收益率均低相关（|r| &lt; 0.10），且不能被 LDA 主题结构所解释（R² = 0.085），具备可接受的聚合效度与区分效度。</w:t>
      </w:r>
      <w:r>
        <w:rPr>
          <w:rFonts w:ascii="宋体" w:hAnsi="宋体" w:eastAsia="宋体"/>
          <w:b/>
          <w:sz w:val="24"/>
        </w:rPr>
        <w:t>第三，在截面回归中 NTH 与下一期研发投入强度显著负相关（β = −9.27，p = 0.026），但逐步加入固定效应后效应消失</w:t>
      </w:r>
      <w:r>
        <w:rPr>
          <w:rFonts w:ascii="宋体" w:hAnsi="宋体" w:eastAsia="宋体"/>
          <w:b w:val="0"/>
          <w:sz w:val="24"/>
        </w:rPr>
        <w:t>：加入行业固定效应后 β 降至 −1.37（p = 0.685），加入企业固定效应后进一步降至 −0.93（p = 0.515）。这说明本文所观测到的截面相关主要由</w:t>
      </w:r>
      <w:r>
        <w:rPr>
          <w:rFonts w:ascii="宋体" w:hAnsi="宋体" w:eastAsia="宋体"/>
          <w:b/>
          <w:sz w:val="24"/>
        </w:rPr>
        <w:t>行业间披露风格差异</w:t>
      </w:r>
      <w:r>
        <w:rPr>
          <w:rFonts w:ascii="宋体" w:hAnsi="宋体" w:eastAsia="宋体"/>
          <w:b w:val="0"/>
          <w:sz w:val="24"/>
        </w:rPr>
        <w:t>驱动，而非同一行业内不同企业之间的管理层视野差异。</w:t>
      </w:r>
    </w:p>
    <w:p>
      <w:pPr>
        <w:spacing w:line="360" w:lineRule="auto" w:after="120"/>
        <w:ind w:firstLine="480"/>
      </w:pPr>
      <w:r>
        <w:rPr>
          <w:rFonts w:ascii="宋体" w:hAnsi="宋体" w:eastAsia="宋体"/>
          <w:b w:val="0"/>
          <w:sz w:val="24"/>
        </w:rPr>
        <w:t>本文的主要价值不在支持某一假设，而在于完整呈现一次"测度从失败到可被检验"的过程：内容效度检验发现失效、据此返回特征提取环节重构词典、三条技术路线相互印证、最终以固定效应分解定位效应的真实来源。这为后续建立在文本之上的管理实证研究提供了可直接复用的流程与若干明确的反面教训。</w:t>
      </w:r>
    </w:p>
    <w:p>
      <w:pPr>
        <w:spacing w:line="360" w:lineRule="auto" w:after="120"/>
        <w:ind w:firstLine="480"/>
      </w:pPr>
      <w:r>
        <w:rPr>
          <w:rFonts w:ascii="宋体" w:hAnsi="宋体" w:eastAsia="宋体"/>
          <w:b/>
          <w:sz w:val="24"/>
        </w:rPr>
        <w:t>关键词</w:t>
      </w:r>
      <w:r>
        <w:rPr>
          <w:rFonts w:ascii="宋体" w:hAnsi="宋体" w:eastAsia="宋体"/>
          <w:b w:val="0"/>
          <w:sz w:val="24"/>
        </w:rPr>
        <w:t>：管理者短视；文本分析；词典法；词嵌入；LDA；信效度检验；研发投入</w:t>
      </w:r>
    </w:p>
    <w:p>
      <w:pPr>
        <w:spacing w:before="280" w:after="160"/>
        <w:jc w:val="center"/>
      </w:pPr>
      <w:r>
        <w:rPr>
          <w:rFonts w:ascii="黑体" w:hAnsi="黑体" w:eastAsia="黑体"/>
          <w:b/>
          <w:sz w:val="32"/>
        </w:rPr>
        <w:t>1 绪论</w:t>
      </w:r>
    </w:p>
    <w:p>
      <w:pPr>
        <w:spacing w:before="200"/>
      </w:pPr>
      <w:r>
        <w:rPr>
          <w:rFonts w:ascii="黑体" w:hAnsi="黑体" w:eastAsia="黑体"/>
          <w:b/>
          <w:sz w:val="28"/>
        </w:rPr>
        <w:t>1.1 选题背景与研究意义</w:t>
      </w:r>
    </w:p>
    <w:p>
      <w:pPr>
        <w:spacing w:line="360" w:lineRule="auto" w:after="120"/>
        <w:ind w:firstLine="480"/>
      </w:pPr>
      <w:r>
        <w:rPr>
          <w:rFonts w:ascii="宋体" w:hAnsi="宋体" w:eastAsia="宋体"/>
          <w:b w:val="0"/>
          <w:sz w:val="24"/>
        </w:rPr>
        <w:t>管理层的时间视野（time horizon）是公司治理与创新研究中的一个核心变量。管理者每一次资源配置决策都隐含着一个权衡：是削减当期费用以美化利润，还是把资源投向数年后才见效的长期能力建设。Stein（1989）在其关于短视企业行为的经典模型中指出，当经理人预期自己在项目回报兑现之前就可能离开企业时，会系统性地偏好那些"见效快"的项目[1]。Brochet 等（2015）从信息披露角度提供了支持性证据：财务报告沟通的时间视域越近主要的公司，其资本支出越少，也越容易为了达到盈余标杆而削减研发支出[2]。</w:t>
      </w:r>
    </w:p>
    <w:p>
      <w:pPr>
        <w:spacing w:line="360" w:lineRule="auto" w:after="120"/>
        <w:ind w:firstLine="480"/>
      </w:pPr>
      <w:r>
        <w:rPr>
          <w:rFonts w:ascii="宋体" w:hAnsi="宋体" w:eastAsia="宋体"/>
          <w:b w:val="0"/>
          <w:sz w:val="24"/>
        </w:rPr>
        <w:t>从现实背景看，党的二十大报告明确提出要"强化企业科技创新主体地位"，老工业基地的结构性矛盾恰恰表现为"重当期报表、轻长期投入"的路径依赖。辽宁作为我国重要的老工业基地，其上市公司群体集中分布在钢铁、石化、装备制造等传统产业，这一结构特征使得"看不见的管理层视野"成为理解区域企业创新投入差异的关键环节。因此，本研究选择了既贴近学院"服务地方经济社会发展需求"要求、又在方法上具有代表性的区域性样本。</w:t>
      </w:r>
    </w:p>
    <w:p>
      <w:pPr>
        <w:spacing w:line="360" w:lineRule="auto" w:after="120"/>
        <w:ind w:firstLine="480"/>
      </w:pPr>
      <w:r>
        <w:rPr>
          <w:rFonts w:ascii="宋体" w:hAnsi="宋体" w:eastAsia="宋体"/>
          <w:b w:val="0"/>
          <w:sz w:val="24"/>
        </w:rPr>
        <w:t>然而，"管理者短视"是一个典型的难以直接观测的构念。它既不能用财务指标直接读出，也很难通过问卷获得真实答案。管理层写在年报"管理层讨论与分析"（MD&amp;A）中的语言，因而成为一种成本较低、覆盖较广、可重复检验的观测来源。本文正是在这一背景下，尝试回答一个方法论问题：</w:t>
      </w:r>
      <w:r>
        <w:rPr>
          <w:rFonts w:ascii="宋体" w:hAnsi="宋体" w:eastAsia="宋体"/>
          <w:b/>
          <w:sz w:val="24"/>
        </w:rPr>
        <w:t>怎样把一段管理层文字，变成一个能进回归模型的变量，并且说清楚它值不值得信。</w:t>
      </w:r>
    </w:p>
    <w:p>
      <w:pPr>
        <w:spacing w:before="200"/>
      </w:pPr>
      <w:r>
        <w:rPr>
          <w:rFonts w:ascii="黑体" w:hAnsi="黑体" w:eastAsia="黑体"/>
          <w:b/>
          <w:sz w:val="28"/>
        </w:rPr>
        <w:t>1.2 国内外研究现状</w:t>
      </w:r>
    </w:p>
    <w:p>
      <w:pPr>
        <w:spacing w:line="360" w:lineRule="auto" w:after="120"/>
        <w:ind w:firstLine="480"/>
      </w:pPr>
      <w:r>
        <w:rPr>
          <w:rFonts w:ascii="宋体" w:hAnsi="宋体" w:eastAsia="宋体"/>
          <w:b w:val="0"/>
          <w:sz w:val="24"/>
        </w:rPr>
        <w:t>文本已经成为管理学与会计金融研究中的常规数据源，但围绕"文本能否测出管理层视野"这一问题，已有文献可以清晰聚为三支，且三支之间存在实质性分歧。</w:t>
      </w:r>
    </w:p>
    <w:p>
      <w:pPr>
        <w:spacing w:line="360" w:lineRule="auto" w:after="120"/>
        <w:ind w:firstLine="480"/>
      </w:pPr>
      <w:r>
        <w:rPr>
          <w:rFonts w:ascii="宋体" w:hAnsi="宋体" w:eastAsia="宋体"/>
          <w:b/>
          <w:sz w:val="24"/>
        </w:rPr>
        <w:t>第一支：词典计数派。</w:t>
      </w:r>
      <w:r>
        <w:rPr>
          <w:rFonts w:ascii="宋体" w:hAnsi="宋体" w:eastAsia="宋体"/>
          <w:b w:val="0"/>
          <w:sz w:val="24"/>
        </w:rPr>
        <w:t xml:space="preserve"> 这一支的基本逻辑是"先定词、后计数"。Loughran 与 McDonald（2011）构建了专门面向金融文本的情感词典，其核心贡献恰恰是一个负面发现：通用心理学词典（如 Harvard IV-4）在年报语境中会系统性误判，因为"liability""tax""cost"等词在会计语境下并非负面情绪词[3]。两位作者进一步在综述中把文本分析的适用边界与陷阱系统化[4]。在中文场景，最具代表性的工作是胡楠等（2021）：该文基于行为经济学的短期视域理论人工筛选 43 个中文词汇，统计其在年报 MD&amp;A 中的出现频数并除以总词数，发现该指标与企业研发投入、资本支出显著负相关[6]。此后数字化转型领域的文本测度研究大量沿用"先定词典、再计数"的思路[7][8]。</w:t>
      </w:r>
    </w:p>
    <w:p>
      <w:pPr>
        <w:spacing w:line="360" w:lineRule="auto" w:after="120"/>
        <w:ind w:firstLine="480"/>
      </w:pPr>
      <w:r>
        <w:rPr>
          <w:rFonts w:ascii="宋体" w:hAnsi="宋体" w:eastAsia="宋体"/>
          <w:b/>
          <w:sz w:val="24"/>
        </w:rPr>
        <w:t>第二支：语义表示派。</w:t>
      </w:r>
      <w:r>
        <w:rPr>
          <w:rFonts w:ascii="宋体" w:hAnsi="宋体" w:eastAsia="宋体"/>
          <w:b w:val="0"/>
          <w:sz w:val="24"/>
        </w:rPr>
        <w:t xml:space="preserve"> 这一支认为词语的表层形式不足以承载语义，必须借助分布式表示。Mikolov 等（2013）提出的 Word2Vec 把词映射为低维稠密向量，使语义相近的词在向量空间中彼此靠近[9]；Devlin 等（2019）的 BERT 进一步引入上下文动态表示，使同一个词在不同句子中得到不同向量[10]。这一支的优势是覆盖面广、不依赖人工词表，代价是可解释性下降、对语料规模与算力要求高。</w:t>
      </w:r>
    </w:p>
    <w:p>
      <w:pPr>
        <w:spacing w:line="360" w:lineRule="auto" w:after="120"/>
        <w:ind w:firstLine="480"/>
      </w:pPr>
      <w:r>
        <w:rPr>
          <w:rFonts w:ascii="宋体" w:hAnsi="宋体" w:eastAsia="宋体"/>
          <w:b/>
          <w:sz w:val="24"/>
        </w:rPr>
        <w:t>第三支：主题归纳派。</w:t>
      </w:r>
      <w:r>
        <w:rPr>
          <w:rFonts w:ascii="宋体" w:hAnsi="宋体" w:eastAsia="宋体"/>
          <w:b w:val="0"/>
          <w:sz w:val="24"/>
        </w:rPr>
        <w:t xml:space="preserve"> Blei 等（2003）的 LDA 不预设词典，而让模型从语料中自行归纳话题，每篇文档被表示为若干主题的混合比例[11]。其吸引力在于"让文本自己说出维度"，避免研究者先入为主。</w:t>
      </w:r>
    </w:p>
    <w:p>
      <w:pPr>
        <w:spacing w:line="360" w:lineRule="auto" w:after="120"/>
        <w:ind w:firstLine="480"/>
      </w:pPr>
      <w:r>
        <w:rPr>
          <w:rFonts w:ascii="宋体" w:hAnsi="宋体" w:eastAsia="宋体"/>
          <w:b w:val="0"/>
          <w:sz w:val="24"/>
        </w:rPr>
        <w:t>三支之间的分歧集中在两个问题上。</w:t>
      </w:r>
      <w:r>
        <w:rPr>
          <w:rFonts w:ascii="宋体" w:hAnsi="宋体" w:eastAsia="宋体"/>
          <w:b/>
          <w:sz w:val="24"/>
        </w:rPr>
        <w:t>分歧一：人工词表是否必要？</w:t>
      </w:r>
      <w:r>
        <w:rPr>
          <w:rFonts w:ascii="宋体" w:hAnsi="宋体" w:eastAsia="宋体"/>
          <w:b w:val="0"/>
          <w:sz w:val="24"/>
        </w:rPr>
        <w:t xml:space="preserve"> 词典派认为词表是透明性与可复现性的来源；表示派与主题派则认为人工词表恰恰是把研究者的偏见写死的过程。</w:t>
      </w:r>
      <w:r>
        <w:rPr>
          <w:rFonts w:ascii="宋体" w:hAnsi="宋体" w:eastAsia="宋体"/>
          <w:b/>
          <w:sz w:val="24"/>
        </w:rPr>
        <w:t>分歧二：什么才算测度成立的证据？</w:t>
      </w:r>
      <w:r>
        <w:rPr>
          <w:rFonts w:ascii="宋体" w:hAnsi="宋体" w:eastAsia="宋体"/>
          <w:b w:val="0"/>
          <w:sz w:val="24"/>
        </w:rPr>
        <w:t xml:space="preserve"> 三支文献在实践中大多以"与经济后果显著相关"作为测度成立的依据，即依赖</w:t>
      </w:r>
      <w:r>
        <w:rPr>
          <w:rFonts w:ascii="宋体" w:hAnsi="宋体" w:eastAsia="宋体"/>
          <w:b/>
          <w:sz w:val="24"/>
        </w:rPr>
        <w:t>预测效度</w:t>
      </w:r>
      <w:r>
        <w:rPr>
          <w:rFonts w:ascii="宋体" w:hAnsi="宋体" w:eastAsia="宋体"/>
          <w:b w:val="0"/>
          <w:sz w:val="24"/>
        </w:rPr>
        <w:t>。</w:t>
      </w:r>
    </w:p>
    <w:p>
      <w:pPr>
        <w:spacing w:before="200"/>
      </w:pPr>
      <w:r>
        <w:rPr>
          <w:rFonts w:ascii="黑体" w:hAnsi="黑体" w:eastAsia="黑体"/>
          <w:b/>
          <w:sz w:val="28"/>
        </w:rPr>
        <w:t>1.3 现有研究的不足与研究 Gap</w:t>
      </w:r>
    </w:p>
    <w:p>
      <w:pPr>
        <w:spacing w:line="360" w:lineRule="auto" w:after="120"/>
        <w:ind w:firstLine="480"/>
      </w:pPr>
      <w:r>
        <w:rPr>
          <w:rFonts w:ascii="宋体" w:hAnsi="宋体" w:eastAsia="宋体"/>
          <w:b w:val="0"/>
          <w:sz w:val="24"/>
        </w:rPr>
        <w:t>这一分歧直接引出了本文的 Gap。Gentzkow 等（2019）在《Journal of Economic Literature》的综述中早已强调，任何文本测度都必须回答"测的到底是不是你想要的东西"[5]，但在实际操作中，这一追问常被"回归系数显著"替代。具体而言存在三点不足：</w:t>
      </w:r>
    </w:p>
    <w:p>
      <w:pPr>
        <w:spacing w:line="360" w:lineRule="auto" w:after="120"/>
        <w:ind w:firstLine="480"/>
      </w:pPr>
      <w:r>
        <w:rPr>
          <w:rFonts w:ascii="宋体" w:hAnsi="宋体" w:eastAsia="宋体"/>
          <w:b/>
          <w:sz w:val="24"/>
        </w:rPr>
        <w:t>其一，内容效度往往未经严格检验。</w:t>
      </w:r>
      <w:r>
        <w:rPr>
          <w:rFonts w:ascii="宋体" w:hAnsi="宋体" w:eastAsia="宋体"/>
          <w:b w:val="0"/>
          <w:sz w:val="24"/>
        </w:rPr>
        <w:t xml:space="preserve"> 少有研究报告"命中词在具体句子中是否真的表达了目标语义"的量化结果。若一个词典词被计了一次，是因为管理层真的在说"我只看眼前"，还是因为他在罗列"短期借款"科目？现有文献很少给出答案。</w:t>
      </w:r>
    </w:p>
    <w:p>
      <w:pPr>
        <w:spacing w:line="360" w:lineRule="auto" w:after="120"/>
        <w:ind w:firstLine="480"/>
      </w:pPr>
      <w:r>
        <w:rPr>
          <w:rFonts w:ascii="宋体" w:hAnsi="宋体" w:eastAsia="宋体"/>
          <w:b/>
          <w:sz w:val="24"/>
        </w:rPr>
        <w:t>其二，中文语境的"套话污染"被低估。</w:t>
      </w:r>
      <w:r>
        <w:rPr>
          <w:rFonts w:ascii="宋体" w:hAnsi="宋体" w:eastAsia="宋体"/>
          <w:b w:val="0"/>
          <w:sz w:val="24"/>
        </w:rPr>
        <w:t xml:space="preserve"> 中文财经文本存在大量高频法定表述，例如"使用闲置募集资金暂时补充流动资金""临时股东大会审议通过"。这些表述在</w:t>
      </w:r>
      <w:r>
        <w:rPr>
          <w:rFonts w:ascii="宋体" w:hAnsi="宋体" w:eastAsia="宋体"/>
          <w:b/>
          <w:sz w:val="24"/>
        </w:rPr>
        <w:t>时间词层面</w:t>
      </w:r>
      <w:r>
        <w:rPr>
          <w:rFonts w:ascii="宋体" w:hAnsi="宋体" w:eastAsia="宋体"/>
          <w:b w:val="0"/>
          <w:sz w:val="24"/>
        </w:rPr>
        <w:t>与短视词高度重合，但语义上完全是例行披露。若不剥离语境，计数得到的很可能是"披露了多少年"而非"视野有多短"。</w:t>
      </w:r>
    </w:p>
    <w:p>
      <w:pPr>
        <w:spacing w:line="360" w:lineRule="auto" w:after="120"/>
        <w:ind w:firstLine="480"/>
      </w:pPr>
      <w:r>
        <w:rPr>
          <w:rFonts w:ascii="宋体" w:hAnsi="宋体" w:eastAsia="宋体"/>
          <w:b/>
          <w:sz w:val="24"/>
        </w:rPr>
        <w:t>其三，效应的来源缺乏拆解。</w:t>
      </w:r>
      <w:r>
        <w:rPr>
          <w:rFonts w:ascii="宋体" w:hAnsi="宋体" w:eastAsia="宋体"/>
          <w:b w:val="0"/>
          <w:sz w:val="24"/>
        </w:rPr>
        <w:t xml:space="preserve"> 即使观察到文本指标与创新投入显著相关，仍需回答：这种相关是同一行业内企业之间的差异造成的，还是行业之间披露风格不同造成的？缺少这一步分解，测度很容易退化为行业或篇幅的代理。而"篇幅"这一混淆尤为隐蔽——话说得多的公司，所有词都更容易出现。</w:t>
      </w:r>
    </w:p>
    <w:p>
      <w:pPr>
        <w:spacing w:line="360" w:lineRule="auto" w:after="120"/>
        <w:ind w:firstLine="480"/>
      </w:pPr>
      <w:r>
        <w:rPr>
          <w:rFonts w:ascii="宋体" w:hAnsi="宋体" w:eastAsia="宋体"/>
          <w:b w:val="0"/>
          <w:sz w:val="24"/>
        </w:rPr>
        <w:t>综上，本文把研究问题收敛为：</w:t>
      </w:r>
    </w:p>
    <w:p>
      <w:pPr>
        <w:spacing w:line="360" w:lineRule="auto"/>
        <w:ind w:left="454"/>
      </w:pPr>
      <w:r>
        <w:rPr>
          <w:rFonts w:ascii="楷体" w:hAnsi="楷体" w:eastAsia="楷体"/>
          <w:b w:val="0"/>
          <w:sz w:val="22"/>
        </w:rPr>
        <w:t>在区域性、小样本的中文年报语料上，文本类短视测度能否通过内容、聚合、区分与预测四类效度检验？若不能，失效发生在哪一步，应如何修正？</w:t>
      </w:r>
    </w:p>
    <w:p>
      <w:pPr>
        <w:spacing w:before="200"/>
      </w:pPr>
      <w:r>
        <w:rPr>
          <w:rFonts w:ascii="黑体" w:hAnsi="黑体" w:eastAsia="黑体"/>
          <w:b/>
          <w:sz w:val="28"/>
        </w:rPr>
        <w:t>1.4 研究内容、方法与技术路线</w:t>
      </w:r>
    </w:p>
    <w:p>
      <w:pPr>
        <w:spacing w:line="360" w:lineRule="auto" w:after="120"/>
        <w:ind w:firstLine="480"/>
      </w:pPr>
      <w:r>
        <w:rPr>
          <w:rFonts w:ascii="宋体" w:hAnsi="宋体" w:eastAsia="宋体"/>
          <w:b w:val="0"/>
          <w:sz w:val="24"/>
        </w:rPr>
        <w:t>本文按以下五步主线展开：</w:t>
      </w:r>
    </w:p>
    <w:p>
      <w:pPr>
        <w:spacing w:line="360" w:lineRule="auto" w:after="120"/>
        <w:ind w:firstLine="480"/>
      </w:pPr>
      <w:r>
        <w:rPr>
          <w:rFonts w:ascii="宋体" w:hAnsi="宋体" w:eastAsia="宋体"/>
          <w:b w:val="0"/>
          <w:sz w:val="24"/>
        </w:rPr>
        <w:t xml:space="preserve">1. </w:t>
      </w:r>
      <w:r>
        <w:rPr>
          <w:rFonts w:ascii="宋体" w:hAnsi="宋体" w:eastAsia="宋体"/>
          <w:b/>
          <w:sz w:val="24"/>
        </w:rPr>
        <w:t>语料获取</w:t>
      </w:r>
      <w:r>
        <w:rPr>
          <w:rFonts w:ascii="宋体" w:hAnsi="宋体" w:eastAsia="宋体"/>
          <w:b w:val="0"/>
          <w:sz w:val="24"/>
        </w:rPr>
        <w:t>：以注册地址位于辽宁省的 A 股上市公司为样本框，下载 2018—2025 年共 477 份年度报告 PDF，并采集同期财务数据；</w:t>
      </w:r>
    </w:p>
    <w:p>
      <w:pPr>
        <w:spacing w:line="360" w:lineRule="auto" w:after="120"/>
        <w:ind w:firstLine="480"/>
      </w:pPr>
      <w:r>
        <w:rPr>
          <w:rFonts w:ascii="宋体" w:hAnsi="宋体" w:eastAsia="宋体"/>
          <w:b w:val="0"/>
          <w:sz w:val="24"/>
        </w:rPr>
        <w:t xml:space="preserve">2. </w:t>
      </w:r>
      <w:r>
        <w:rPr>
          <w:rFonts w:ascii="宋体" w:hAnsi="宋体" w:eastAsia="宋体"/>
          <w:b/>
          <w:sz w:val="24"/>
        </w:rPr>
        <w:t>文本预处理</w:t>
      </w:r>
      <w:r>
        <w:rPr>
          <w:rFonts w:ascii="宋体" w:hAnsi="宋体" w:eastAsia="宋体"/>
          <w:b w:val="0"/>
          <w:sz w:val="24"/>
        </w:rPr>
        <w:t>：PDF 解析 → 定位 MD&amp;A 章节 → 清洗 → jieba 分词 → 去停用词 → 归一化；</w:t>
      </w:r>
    </w:p>
    <w:p>
      <w:pPr>
        <w:spacing w:line="360" w:lineRule="auto" w:after="120"/>
        <w:ind w:firstLine="480"/>
      </w:pPr>
      <w:r>
        <w:rPr>
          <w:rFonts w:ascii="宋体" w:hAnsi="宋体" w:eastAsia="宋体"/>
          <w:b w:val="0"/>
          <w:sz w:val="24"/>
        </w:rPr>
        <w:t xml:space="preserve">3. </w:t>
      </w:r>
      <w:r>
        <w:rPr>
          <w:rFonts w:ascii="宋体" w:hAnsi="宋体" w:eastAsia="宋体"/>
          <w:b/>
          <w:sz w:val="24"/>
        </w:rPr>
        <w:t>特征提取</w:t>
      </w:r>
      <w:r>
        <w:rPr>
          <w:rFonts w:ascii="宋体" w:hAnsi="宋体" w:eastAsia="宋体"/>
          <w:b w:val="0"/>
          <w:sz w:val="24"/>
        </w:rPr>
        <w:t>：平行实施词典法、词嵌入（Word2Vec）、LDA 主题模型三条技术路线；</w:t>
      </w:r>
    </w:p>
    <w:p>
      <w:pPr>
        <w:spacing w:line="360" w:lineRule="auto" w:after="120"/>
        <w:ind w:firstLine="480"/>
      </w:pPr>
      <w:r>
        <w:rPr>
          <w:rFonts w:ascii="宋体" w:hAnsi="宋体" w:eastAsia="宋体"/>
          <w:b w:val="0"/>
          <w:sz w:val="24"/>
        </w:rPr>
        <w:t xml:space="preserve">4. </w:t>
      </w:r>
      <w:r>
        <w:rPr>
          <w:rFonts w:ascii="宋体" w:hAnsi="宋体" w:eastAsia="宋体"/>
          <w:b/>
          <w:sz w:val="24"/>
        </w:rPr>
        <w:t>指标构建</w:t>
      </w:r>
      <w:r>
        <w:rPr>
          <w:rFonts w:ascii="宋体" w:hAnsi="宋体" w:eastAsia="宋体"/>
          <w:b w:val="0"/>
          <w:sz w:val="24"/>
        </w:rPr>
        <w:t>：按不同 denominator 口径构造多个候选测度，组装企业—年份面板；</w:t>
      </w:r>
    </w:p>
    <w:p>
      <w:pPr>
        <w:spacing w:line="360" w:lineRule="auto" w:after="120"/>
        <w:ind w:firstLine="480"/>
      </w:pPr>
      <w:r>
        <w:rPr>
          <w:rFonts w:ascii="宋体" w:hAnsi="宋体" w:eastAsia="宋体"/>
          <w:b w:val="0"/>
          <w:sz w:val="24"/>
        </w:rPr>
        <w:t xml:space="preserve">5. </w:t>
      </w:r>
      <w:r>
        <w:rPr>
          <w:rFonts w:ascii="宋体" w:hAnsi="宋体" w:eastAsia="宋体"/>
          <w:b/>
          <w:sz w:val="24"/>
        </w:rPr>
        <w:t>信效度检验</w:t>
      </w:r>
      <w:r>
        <w:rPr>
          <w:rFonts w:ascii="宋体" w:hAnsi="宋体" w:eastAsia="宋体"/>
          <w:b w:val="0"/>
          <w:sz w:val="24"/>
        </w:rPr>
        <w:t>：依次做内容效度、聚合效度、区分效度、预测效度检验，任一环节不通过即返回第 3 步重构，最终以固定效应分解定位效应来源。</w:t>
      </w:r>
    </w:p>
    <w:p>
      <w:pPr>
        <w:spacing w:before="200"/>
      </w:pPr>
      <w:r>
        <w:rPr>
          <w:rFonts w:ascii="黑体" w:hAnsi="黑体" w:eastAsia="黑体"/>
          <w:b/>
          <w:sz w:val="28"/>
        </w:rPr>
        <w:t>1.5 本文可能的贡献</w:t>
      </w:r>
    </w:p>
    <w:p>
      <w:pPr>
        <w:spacing w:line="360" w:lineRule="auto" w:after="120"/>
        <w:ind w:firstLine="480"/>
      </w:pPr>
      <w:r>
        <w:rPr>
          <w:rFonts w:ascii="宋体" w:hAnsi="宋体" w:eastAsia="宋体"/>
          <w:b w:val="0"/>
          <w:sz w:val="24"/>
        </w:rPr>
        <w:t>第一，</w:t>
      </w:r>
      <w:r>
        <w:rPr>
          <w:rFonts w:ascii="宋体" w:hAnsi="宋体" w:eastAsia="宋体"/>
          <w:b/>
          <w:sz w:val="24"/>
        </w:rPr>
        <w:t>提供了一次完整且可复现的"测度失效—诊断—重构"记录</w:t>
      </w:r>
      <w:r>
        <w:rPr>
          <w:rFonts w:ascii="宋体" w:hAnsi="宋体" w:eastAsia="宋体"/>
          <w:b w:val="0"/>
          <w:sz w:val="24"/>
        </w:rPr>
        <w:t>，而非仅仅报告一个成功的变量。第二，</w:t>
      </w:r>
      <w:r>
        <w:rPr>
          <w:rFonts w:ascii="宋体" w:hAnsi="宋体" w:eastAsia="宋体"/>
          <w:b/>
          <w:sz w:val="24"/>
        </w:rPr>
        <w:t>首次在同类研究中报告了中文短视词典的人工判读命中精确率</w:t>
      </w:r>
      <w:r>
        <w:rPr>
          <w:rFonts w:ascii="宋体" w:hAnsi="宋体" w:eastAsia="宋体"/>
          <w:b w:val="0"/>
          <w:sz w:val="24"/>
        </w:rPr>
        <w:t>，量化了"表层词频法"在本土语料上的失效程度。第三，</w:t>
      </w:r>
      <w:r>
        <w:rPr>
          <w:rFonts w:ascii="宋体" w:hAnsi="宋体" w:eastAsia="宋体"/>
          <w:b/>
          <w:sz w:val="24"/>
        </w:rPr>
        <w:t>以逐步加入固定效应的方式厘清了文本测度相关性的真实来源</w:t>
      </w:r>
      <w:r>
        <w:rPr>
          <w:rFonts w:ascii="宋体" w:hAnsi="宋体" w:eastAsia="宋体"/>
          <w:b w:val="0"/>
          <w:sz w:val="24"/>
        </w:rPr>
        <w:t>，为后续研究提供了明确的反面教训。</w:t>
      </w:r>
    </w:p>
    <w:p>
      <w:pPr>
        <w:spacing w:line="360" w:lineRule="auto"/>
        <w:ind w:left="454"/>
      </w:pPr>
      <w:r>
        <w:rPr>
          <w:rFonts w:ascii="楷体" w:hAnsi="楷体" w:eastAsia="楷体"/>
          <w:b w:val="0"/>
          <w:sz w:val="22"/>
        </w:rPr>
        <w:t>补充说明：按学院 Literature Review 体例要求，参考文献应满足"近三年不少于 60%、外文不少于 5 篇"。本文因刻意建立在经典文献之上，参考文献以奠基性工作为主；正式提交前需按规则补足 2023 年以后的最新文献，本文第 6 章对此给出了具体清单建议。</w:t>
      </w:r>
    </w:p>
    <w:p>
      <w:pPr>
        <w:spacing w:before="280" w:after="160"/>
        <w:jc w:val="center"/>
      </w:pPr>
      <w:r>
        <w:rPr>
          <w:rFonts w:ascii="黑体" w:hAnsi="黑体" w:eastAsia="黑体"/>
          <w:b/>
          <w:sz w:val="32"/>
        </w:rPr>
        <w:t>2 相关理论与技术基础</w:t>
      </w:r>
    </w:p>
    <w:p>
      <w:pPr>
        <w:spacing w:before="200"/>
      </w:pPr>
      <w:r>
        <w:rPr>
          <w:rFonts w:ascii="黑体" w:hAnsi="黑体" w:eastAsia="黑体"/>
          <w:b/>
          <w:sz w:val="28"/>
        </w:rPr>
        <w:t>2.1 变量测度的"翻译链"</w:t>
      </w:r>
    </w:p>
    <w:p>
      <w:pPr>
        <w:spacing w:line="360" w:lineRule="auto" w:after="120"/>
        <w:ind w:firstLine="480"/>
      </w:pPr>
      <w:r>
        <w:rPr>
          <w:rFonts w:ascii="宋体" w:hAnsi="宋体" w:eastAsia="宋体"/>
          <w:b w:val="0"/>
          <w:sz w:val="24"/>
        </w:rPr>
        <w:t>在管理实证研究中，任何变量都要穿过一条翻译链：</w:t>
      </w:r>
    </w:p>
    <w:p>
      <w:pPr>
        <w:spacing w:line="360" w:lineRule="auto" w:after="120"/>
        <w:ind w:firstLine="480"/>
      </w:pPr>
      <w:r>
        <w:rPr>
          <w:rFonts w:ascii="宋体" w:hAnsi="宋体" w:eastAsia="宋体"/>
          <w:b/>
          <w:sz w:val="24"/>
        </w:rPr>
        <w:t>概念（Concept）→ 构念（Construct）→ 指标（Indicator）→ 测度（Measure）→ 变量（Variable）</w:t>
      </w:r>
    </w:p>
    <w:p>
      <w:pPr>
        <w:spacing w:line="360" w:lineRule="auto" w:after="120"/>
        <w:ind w:firstLine="480"/>
      </w:pPr>
      <w:r>
        <w:rPr>
          <w:rFonts w:ascii="宋体" w:hAnsi="宋体" w:eastAsia="宋体"/>
          <w:b w:val="0"/>
          <w:sz w:val="24"/>
        </w:rPr>
        <w:t>以本文为例：研究者真正想研究的是"管理者短视"这一抽象</w:t>
      </w:r>
      <w:r>
        <w:rPr>
          <w:rFonts w:ascii="宋体" w:hAnsi="宋体" w:eastAsia="宋体"/>
          <w:b/>
          <w:sz w:val="24"/>
        </w:rPr>
        <w:t>概念</w:t>
      </w:r>
      <w:r>
        <w:rPr>
          <w:rFonts w:ascii="宋体" w:hAnsi="宋体" w:eastAsia="宋体"/>
          <w:b w:val="0"/>
          <w:sz w:val="24"/>
        </w:rPr>
        <w:t>；把它操作化为"决策制定时偏好近期回报而非长期能力建设"这一</w:t>
      </w:r>
      <w:r>
        <w:rPr>
          <w:rFonts w:ascii="宋体" w:hAnsi="宋体" w:eastAsia="宋体"/>
          <w:b/>
          <w:sz w:val="24"/>
        </w:rPr>
        <w:t>构念</w:t>
      </w:r>
      <w:r>
        <w:rPr>
          <w:rFonts w:ascii="宋体" w:hAnsi="宋体" w:eastAsia="宋体"/>
          <w:b w:val="0"/>
          <w:sz w:val="24"/>
        </w:rPr>
        <w:t>；可观测的</w:t>
      </w:r>
      <w:r>
        <w:rPr>
          <w:rFonts w:ascii="宋体" w:hAnsi="宋体" w:eastAsia="宋体"/>
          <w:b/>
          <w:sz w:val="24"/>
        </w:rPr>
        <w:t>指标</w:t>
      </w:r>
      <w:r>
        <w:rPr>
          <w:rFonts w:ascii="宋体" w:hAnsi="宋体" w:eastAsia="宋体"/>
          <w:b w:val="0"/>
          <w:sz w:val="24"/>
        </w:rPr>
        <w:t>是"MD&amp;A 中短期视域词汇的出现情况"；具体的</w:t>
      </w:r>
      <w:r>
        <w:rPr>
          <w:rFonts w:ascii="宋体" w:hAnsi="宋体" w:eastAsia="宋体"/>
          <w:b/>
          <w:sz w:val="24"/>
        </w:rPr>
        <w:t>测度</w:t>
      </w:r>
      <w:r>
        <w:rPr>
          <w:rFonts w:ascii="宋体" w:hAnsi="宋体" w:eastAsia="宋体"/>
          <w:b w:val="0"/>
          <w:sz w:val="24"/>
        </w:rPr>
        <w:t>是"命中次数 ÷ 有效词数 × 100"；进入模型的是名为 `NTH_diff` 的那一列</w:t>
      </w:r>
      <w:r>
        <w:rPr>
          <w:rFonts w:ascii="宋体" w:hAnsi="宋体" w:eastAsia="宋体"/>
          <w:b/>
          <w:sz w:val="24"/>
        </w:rPr>
        <w:t>变量</w:t>
      </w:r>
      <w:r>
        <w:rPr>
          <w:rFonts w:ascii="宋体" w:hAnsi="宋体" w:eastAsia="宋体"/>
          <w:b w:val="0"/>
          <w:sz w:val="24"/>
        </w:rPr>
        <w:t>。</w:t>
      </w:r>
    </w:p>
    <w:p>
      <w:pPr>
        <w:spacing w:line="360" w:lineRule="auto" w:after="120"/>
        <w:ind w:firstLine="480"/>
      </w:pPr>
      <w:r>
        <w:rPr>
          <w:rFonts w:ascii="宋体" w:hAnsi="宋体" w:eastAsia="宋体"/>
          <w:b w:val="0"/>
          <w:sz w:val="24"/>
        </w:rPr>
        <w:t>这条链条上每一步都在丢失信息，因此</w:t>
      </w:r>
      <w:r>
        <w:rPr>
          <w:rFonts w:ascii="宋体" w:hAnsi="宋体" w:eastAsia="宋体"/>
          <w:b/>
          <w:sz w:val="24"/>
        </w:rPr>
        <w:t>所有测度本质上都是代理变量</w:t>
      </w:r>
      <w:r>
        <w:rPr>
          <w:rFonts w:ascii="宋体" w:hAnsi="宋体" w:eastAsia="宋体"/>
          <w:b w:val="0"/>
          <w:sz w:val="24"/>
        </w:rPr>
        <w:t>。信度回答"测得稳不稳"，效度回答"测的是不是它"。本文的全部实证工作，其实就是在论证这条链条"代理得合不合理"。</w:t>
      </w:r>
    </w:p>
    <w:p>
      <w:pPr>
        <w:spacing w:before="200"/>
      </w:pPr>
      <w:r>
        <w:rPr>
          <w:rFonts w:ascii="黑体" w:hAnsi="黑体" w:eastAsia="黑体"/>
          <w:b/>
          <w:sz w:val="28"/>
        </w:rPr>
        <w:t>2.2 NLP 测度相对传统财务测度的优势与风险</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宋体" w:hAnsi="宋体" w:eastAsia="宋体"/>
                <w:b/>
                <w:sz w:val="19"/>
              </w:rPr>
              <w:t>维度</w:t>
            </w:r>
          </w:p>
        </w:tc>
        <w:tc>
          <w:tcPr>
            <w:tcW w:type="dxa" w:w="2946"/>
          </w:tcPr>
          <w:p>
            <w:pPr>
              <w:jc w:val="center"/>
            </w:pPr>
            <w:r/>
            <w:r>
              <w:rPr>
                <w:rFonts w:ascii="宋体" w:hAnsi="宋体" w:eastAsia="宋体"/>
                <w:b/>
                <w:sz w:val="19"/>
              </w:rPr>
              <w:t>传统财务测度</w:t>
            </w:r>
          </w:p>
        </w:tc>
        <w:tc>
          <w:tcPr>
            <w:tcW w:type="dxa" w:w="2946"/>
          </w:tcPr>
          <w:p>
            <w:pPr>
              <w:jc w:val="center"/>
            </w:pPr>
            <w:r/>
            <w:r>
              <w:rPr>
                <w:rFonts w:ascii="宋体" w:hAnsi="宋体" w:eastAsia="宋体"/>
                <w:b/>
                <w:sz w:val="19"/>
              </w:rPr>
              <w:t>NLP 文本测度</w:t>
            </w:r>
          </w:p>
        </w:tc>
      </w:tr>
      <w:tr>
        <w:tc>
          <w:tcPr>
            <w:tcW w:type="dxa" w:w="2946"/>
          </w:tcPr>
          <w:p>
            <w:pPr>
              <w:jc w:val="center"/>
            </w:pPr>
            <w:r/>
            <w:r>
              <w:rPr>
                <w:rFonts w:ascii="宋体" w:hAnsi="宋体" w:eastAsia="宋体"/>
                <w:b w:val="0"/>
                <w:sz w:val="19"/>
              </w:rPr>
              <w:t>数据来源</w:t>
            </w:r>
          </w:p>
        </w:tc>
        <w:tc>
          <w:tcPr>
            <w:tcW w:type="dxa" w:w="2946"/>
          </w:tcPr>
          <w:p>
            <w:pPr>
              <w:jc w:val="center"/>
            </w:pPr>
            <w:r/>
            <w:r>
              <w:rPr>
                <w:rFonts w:ascii="宋体" w:hAnsi="宋体" w:eastAsia="宋体"/>
                <w:b w:val="0"/>
                <w:sz w:val="19"/>
              </w:rPr>
              <w:t>财报数字、统计年鉴</w:t>
            </w:r>
          </w:p>
        </w:tc>
        <w:tc>
          <w:tcPr>
            <w:tcW w:type="dxa" w:w="2946"/>
          </w:tcPr>
          <w:p>
            <w:pPr>
              <w:jc w:val="center"/>
            </w:pPr>
            <w:r/>
            <w:r>
              <w:rPr>
                <w:rFonts w:ascii="宋体" w:hAnsi="宋体" w:eastAsia="宋体"/>
                <w:b w:val="0"/>
                <w:sz w:val="19"/>
              </w:rPr>
              <w:t>年报、公告、新闻、评论</w:t>
            </w:r>
          </w:p>
        </w:tc>
      </w:tr>
      <w:tr>
        <w:tc>
          <w:tcPr>
            <w:tcW w:type="dxa" w:w="2946"/>
          </w:tcPr>
          <w:p>
            <w:pPr>
              <w:jc w:val="center"/>
            </w:pPr>
            <w:r/>
            <w:r>
              <w:rPr>
                <w:rFonts w:ascii="宋体" w:hAnsi="宋体" w:eastAsia="宋体"/>
                <w:b w:val="0"/>
                <w:sz w:val="19"/>
              </w:rPr>
              <w:t>时间粒度</w:t>
            </w:r>
          </w:p>
        </w:tc>
        <w:tc>
          <w:tcPr>
            <w:tcW w:type="dxa" w:w="2946"/>
          </w:tcPr>
          <w:p>
            <w:pPr>
              <w:jc w:val="center"/>
            </w:pPr>
            <w:r/>
            <w:r>
              <w:rPr>
                <w:rFonts w:ascii="宋体" w:hAnsi="宋体" w:eastAsia="宋体"/>
                <w:b w:val="0"/>
                <w:sz w:val="19"/>
              </w:rPr>
              <w:t>季度 / 年度</w:t>
            </w:r>
          </w:p>
        </w:tc>
        <w:tc>
          <w:tcPr>
            <w:tcW w:type="dxa" w:w="2946"/>
          </w:tcPr>
          <w:p>
            <w:pPr>
              <w:jc w:val="center"/>
            </w:pPr>
            <w:r/>
            <w:r>
              <w:rPr>
                <w:rFonts w:ascii="宋体" w:hAnsi="宋体" w:eastAsia="宋体"/>
                <w:b w:val="0"/>
                <w:sz w:val="19"/>
              </w:rPr>
              <w:t>日度、事件级</w:t>
            </w:r>
          </w:p>
        </w:tc>
      </w:tr>
      <w:tr>
        <w:tc>
          <w:tcPr>
            <w:tcW w:type="dxa" w:w="2946"/>
          </w:tcPr>
          <w:p>
            <w:pPr>
              <w:jc w:val="center"/>
            </w:pPr>
            <w:r/>
            <w:r>
              <w:rPr>
                <w:rFonts w:ascii="宋体" w:hAnsi="宋体" w:eastAsia="宋体"/>
                <w:b w:val="0"/>
                <w:sz w:val="19"/>
              </w:rPr>
              <w:t>覆盖范围</w:t>
            </w:r>
          </w:p>
        </w:tc>
        <w:tc>
          <w:tcPr>
            <w:tcW w:type="dxa" w:w="2946"/>
          </w:tcPr>
          <w:p>
            <w:pPr>
              <w:jc w:val="center"/>
            </w:pPr>
            <w:r/>
            <w:r>
              <w:rPr>
                <w:rFonts w:ascii="宋体" w:hAnsi="宋体" w:eastAsia="宋体"/>
                <w:b w:val="0"/>
                <w:sz w:val="19"/>
              </w:rPr>
              <w:t>以上市、规上企业为主</w:t>
            </w:r>
          </w:p>
        </w:tc>
        <w:tc>
          <w:tcPr>
            <w:tcW w:type="dxa" w:w="2946"/>
          </w:tcPr>
          <w:p>
            <w:pPr>
              <w:jc w:val="center"/>
            </w:pPr>
            <w:r/>
            <w:r>
              <w:rPr>
                <w:rFonts w:ascii="宋体" w:hAnsi="宋体" w:eastAsia="宋体"/>
                <w:b w:val="0"/>
                <w:sz w:val="19"/>
              </w:rPr>
              <w:t>可覆盖更广主体</w:t>
            </w:r>
          </w:p>
        </w:tc>
      </w:tr>
      <w:tr>
        <w:tc>
          <w:tcPr>
            <w:tcW w:type="dxa" w:w="2946"/>
          </w:tcPr>
          <w:p>
            <w:pPr>
              <w:jc w:val="center"/>
            </w:pPr>
            <w:r/>
            <w:r>
              <w:rPr>
                <w:rFonts w:ascii="宋体" w:hAnsi="宋体" w:eastAsia="宋体"/>
                <w:b w:val="0"/>
                <w:sz w:val="19"/>
              </w:rPr>
              <w:t>测度对象</w:t>
            </w:r>
          </w:p>
        </w:tc>
        <w:tc>
          <w:tcPr>
            <w:tcW w:type="dxa" w:w="2946"/>
          </w:tcPr>
          <w:p>
            <w:pPr>
              <w:jc w:val="center"/>
            </w:pPr>
            <w:r/>
            <w:r>
              <w:rPr>
                <w:rFonts w:ascii="宋体" w:hAnsi="宋体" w:eastAsia="宋体"/>
                <w:b w:val="0"/>
                <w:sz w:val="19"/>
              </w:rPr>
              <w:t>已发生的结果</w:t>
            </w:r>
          </w:p>
        </w:tc>
        <w:tc>
          <w:tcPr>
            <w:tcW w:type="dxa" w:w="2946"/>
          </w:tcPr>
          <w:p>
            <w:pPr>
              <w:jc w:val="center"/>
            </w:pPr>
            <w:r/>
            <w:r>
              <w:rPr>
                <w:rFonts w:ascii="宋体" w:hAnsi="宋体" w:eastAsia="宋体"/>
                <w:b w:val="0"/>
                <w:sz w:val="19"/>
              </w:rPr>
              <w:t>管理层的想法与预期</w:t>
            </w:r>
          </w:p>
        </w:tc>
      </w:tr>
      <w:tr>
        <w:tc>
          <w:tcPr>
            <w:tcW w:type="dxa" w:w="2946"/>
          </w:tcPr>
          <w:p>
            <w:pPr>
              <w:jc w:val="center"/>
            </w:pPr>
            <w:r/>
            <w:r>
              <w:rPr>
                <w:rFonts w:ascii="宋体" w:hAnsi="宋体" w:eastAsia="宋体"/>
                <w:b w:val="0"/>
                <w:sz w:val="19"/>
              </w:rPr>
              <w:t>主要风险</w:t>
            </w:r>
          </w:p>
        </w:tc>
        <w:tc>
          <w:tcPr>
            <w:tcW w:type="dxa" w:w="2946"/>
          </w:tcPr>
          <w:p>
            <w:pPr>
              <w:jc w:val="center"/>
            </w:pPr>
            <w:r/>
            <w:r>
              <w:rPr>
                <w:rFonts w:ascii="宋体" w:hAnsi="宋体" w:eastAsia="宋体"/>
                <w:b w:val="0"/>
                <w:sz w:val="19"/>
              </w:rPr>
              <w:t>盈余管理、口径变更</w:t>
            </w:r>
          </w:p>
        </w:tc>
        <w:tc>
          <w:tcPr>
            <w:tcW w:type="dxa" w:w="2946"/>
          </w:tcPr>
          <w:p>
            <w:pPr>
              <w:jc w:val="center"/>
            </w:pPr>
            <w:r/>
            <w:r>
              <w:rPr>
                <w:rFonts w:ascii="宋体" w:hAnsi="宋体" w:eastAsia="宋体"/>
                <w:b w:val="0"/>
                <w:sz w:val="19"/>
              </w:rPr>
              <w:t>词典误判、语境迁移、篇幅驱动</w:t>
            </w:r>
          </w:p>
        </w:tc>
      </w:tr>
      <w:tr>
        <w:tc>
          <w:tcPr>
            <w:tcW w:type="dxa" w:w="2946"/>
          </w:tcPr>
          <w:p>
            <w:pPr>
              <w:jc w:val="center"/>
            </w:pPr>
            <w:r/>
            <w:r>
              <w:rPr>
                <w:rFonts w:ascii="宋体" w:hAnsi="宋体" w:eastAsia="宋体"/>
                <w:b w:val="0"/>
                <w:sz w:val="19"/>
              </w:rPr>
              <w:t>典型工具</w:t>
            </w:r>
          </w:p>
        </w:tc>
        <w:tc>
          <w:tcPr>
            <w:tcW w:type="dxa" w:w="2946"/>
          </w:tcPr>
          <w:p>
            <w:pPr>
              <w:jc w:val="center"/>
            </w:pPr>
            <w:r/>
            <w:r>
              <w:rPr>
                <w:rFonts w:ascii="宋体" w:hAnsi="宋体" w:eastAsia="宋体"/>
                <w:b w:val="0"/>
                <w:sz w:val="19"/>
              </w:rPr>
              <w:t>Wind、同花顺、CSMAR</w:t>
            </w:r>
          </w:p>
        </w:tc>
        <w:tc>
          <w:tcPr>
            <w:tcW w:type="dxa" w:w="2946"/>
          </w:tcPr>
          <w:p>
            <w:pPr>
              <w:jc w:val="center"/>
            </w:pPr>
            <w:r/>
            <w:r>
              <w:rPr>
                <w:rFonts w:ascii="宋体" w:hAnsi="宋体" w:eastAsia="宋体"/>
                <w:b w:val="0"/>
                <w:sz w:val="19"/>
              </w:rPr>
              <w:t>Python + 分词 + 模型</w:t>
            </w:r>
          </w:p>
        </w:tc>
      </w:tr>
    </w:tbl>
    <w:p/>
    <w:p>
      <w:pPr>
        <w:spacing w:line="360" w:lineRule="auto" w:after="120"/>
        <w:ind w:firstLine="480"/>
      </w:pPr>
      <w:r>
        <w:rPr>
          <w:rFonts w:ascii="宋体" w:hAnsi="宋体" w:eastAsia="宋体"/>
          <w:b w:val="0"/>
          <w:sz w:val="24"/>
        </w:rPr>
        <w:t>文本测度最大的吸引力在于它能测到"意图"与"语词"，而这恰恰是财务数字无法承载的。但代价是它引入了新的测量误差来源，尤其是</w:t>
      </w:r>
      <w:r>
        <w:rPr>
          <w:rFonts w:ascii="宋体" w:hAnsi="宋体" w:eastAsia="宋体"/>
          <w:b/>
          <w:sz w:val="24"/>
        </w:rPr>
        <w:t>篇幅依赖</w:t>
      </w:r>
      <w:r>
        <w:rPr>
          <w:rFonts w:ascii="宋体" w:hAnsi="宋体" w:eastAsia="宋体"/>
          <w:b w:val="0"/>
          <w:sz w:val="24"/>
        </w:rPr>
        <w:t>——话说得多的公司，所有词都更容易出现。</w:t>
      </w:r>
    </w:p>
    <w:p>
      <w:pPr>
        <w:spacing w:before="200"/>
      </w:pPr>
      <w:r>
        <w:rPr>
          <w:rFonts w:ascii="黑体" w:hAnsi="黑体" w:eastAsia="黑体"/>
          <w:b/>
          <w:sz w:val="28"/>
        </w:rPr>
        <w:t>2.3 三条特征提取技术路线</w:t>
      </w:r>
    </w:p>
    <w:p>
      <w:pPr>
        <w:spacing w:line="360" w:lineRule="auto" w:after="120"/>
        <w:ind w:firstLine="480"/>
      </w:pPr>
      <w:r>
        <w:rPr>
          <w:rFonts w:ascii="宋体" w:hAnsi="宋体" w:eastAsia="宋体"/>
          <w:b/>
          <w:sz w:val="24"/>
        </w:rPr>
        <w:t>（1）词典法。</w:t>
      </w:r>
      <w:r>
        <w:rPr>
          <w:rFonts w:ascii="宋体" w:hAnsi="宋体" w:eastAsia="宋体"/>
          <w:b w:val="0"/>
          <w:sz w:val="24"/>
        </w:rPr>
        <w:t xml:space="preserve"> 把 K 个词构成词典 D，对文档 d 计数：</w:t>
      </w:r>
    </w:p>
    <w:p>
      <w:pPr>
        <w:jc w:val="center"/>
      </w:pPr>
      <w:r>
        <w:rPr>
          <w:rFonts w:ascii="Cambria Math" w:hAnsi="Cambria Math" w:eastAsia="Cambria Math"/>
          <w:b w:val="0"/>
          <w:sz w:val="22"/>
        </w:rPr>
        <w:t>\text{Measure}=\frac{\sum_{w \in D} count(w,d)}{N_d}\times 100</w:t>
      </w:r>
    </w:p>
    <w:p>
      <w:pPr>
        <w:spacing w:line="360" w:lineRule="auto" w:after="120"/>
        <w:ind w:firstLine="480"/>
      </w:pPr>
      <w:r>
        <w:rPr>
          <w:rFonts w:ascii="宋体" w:hAnsi="宋体" w:eastAsia="宋体"/>
          <w:b w:val="0"/>
          <w:sz w:val="24"/>
        </w:rPr>
        <w:t>其中 $N_d$ 为文档词数。优点是透明可复现，缺点是覆盖不全且无法处理一词多义。</w:t>
      </w:r>
    </w:p>
    <w:p>
      <w:pPr>
        <w:spacing w:line="360" w:lineRule="auto" w:after="120"/>
        <w:ind w:firstLine="480"/>
      </w:pPr>
      <w:r>
        <w:rPr>
          <w:rFonts w:ascii="宋体" w:hAnsi="宋体" w:eastAsia="宋体"/>
          <w:b/>
          <w:sz w:val="24"/>
        </w:rPr>
        <w:t>（2）词嵌入。</w:t>
      </w:r>
      <w:r>
        <w:rPr>
          <w:rFonts w:ascii="宋体" w:hAnsi="宋体" w:eastAsia="宋体"/>
          <w:b w:val="0"/>
          <w:sz w:val="24"/>
        </w:rPr>
        <w:t xml:space="preserve"> 通过神经网络把每个词映射为 d 维向量，使得语义相近的词向量余弦相似度较大：</w:t>
      </w:r>
    </w:p>
    <w:p>
      <w:pPr>
        <w:jc w:val="center"/>
      </w:pPr>
      <w:r>
        <w:rPr>
          <w:rFonts w:ascii="Cambria Math" w:hAnsi="Cambria Math" w:eastAsia="Cambria Math"/>
          <w:b w:val="0"/>
          <w:sz w:val="22"/>
        </w:rPr>
        <w:t>\cos(A,B)=\frac{A\cdot B}{|A||B|}</w:t>
      </w:r>
    </w:p>
    <w:p>
      <w:pPr>
        <w:spacing w:line="360" w:lineRule="auto" w:after="120"/>
        <w:ind w:firstLine="480"/>
      </w:pPr>
      <w:r>
        <w:rPr>
          <w:rFonts w:ascii="宋体" w:hAnsi="宋体" w:eastAsia="宋体"/>
          <w:b w:val="0"/>
          <w:sz w:val="24"/>
        </w:rPr>
        <w:t>在本文中，先以短视锚词组 $S$ 与长期锚词组 $L$ 分别生成锚向量，再对文档中每个词计算其与锚向量的相似度，以 TF-IDF 加权得到文档得分，最终取 $\text{EmbNet}=\text{EmbShort}-\text{EmbLong}$。</w:t>
      </w:r>
    </w:p>
    <w:p>
      <w:pPr>
        <w:spacing w:line="360" w:lineRule="auto" w:after="120"/>
        <w:ind w:firstLine="480"/>
      </w:pPr>
      <w:r>
        <w:rPr>
          <w:rFonts w:ascii="宋体" w:hAnsi="宋体" w:eastAsia="宋体"/>
          <w:b/>
          <w:sz w:val="24"/>
        </w:rPr>
        <w:t>（3）主题模型 LDA。</w:t>
      </w:r>
      <w:r>
        <w:rPr>
          <w:rFonts w:ascii="宋体" w:hAnsi="宋体" w:eastAsia="宋体"/>
          <w:b w:val="0"/>
          <w:sz w:val="24"/>
        </w:rPr>
        <w:t xml:space="preserve"> 假设每篇文档是若干主题的混合，每个主题是词表上的概率分布。通过困惑度（perplexity）与主题连贯性（$c\_v$）选择主题数 K，再按主题—种子词重合度识别目标主题。</w:t>
      </w:r>
    </w:p>
    <w:p>
      <w:pPr>
        <w:spacing w:line="360" w:lineRule="auto" w:after="120"/>
        <w:ind w:firstLine="480"/>
      </w:pPr>
      <w:r>
        <w:rPr>
          <w:rFonts w:ascii="宋体" w:hAnsi="宋体" w:eastAsia="宋体"/>
          <w:b w:val="0"/>
          <w:sz w:val="24"/>
        </w:rPr>
        <w:t>三条路线互有长短，本文把它们</w:t>
      </w:r>
      <w:r>
        <w:rPr>
          <w:rFonts w:ascii="宋体" w:hAnsi="宋体" w:eastAsia="宋体"/>
          <w:b/>
          <w:sz w:val="24"/>
        </w:rPr>
        <w:t>平行实施并相互校验</w:t>
      </w:r>
      <w:r>
        <w:rPr>
          <w:rFonts w:ascii="宋体" w:hAnsi="宋体" w:eastAsia="宋体"/>
          <w:b w:val="0"/>
          <w:sz w:val="24"/>
        </w:rPr>
        <w:t>，而不是任选其一。</w:t>
      </w:r>
    </w:p>
    <w:p>
      <w:pPr>
        <w:spacing w:before="200"/>
      </w:pPr>
      <w:r>
        <w:rPr>
          <w:rFonts w:ascii="黑体" w:hAnsi="黑体" w:eastAsia="黑体"/>
          <w:b/>
          <w:sz w:val="28"/>
        </w:rPr>
        <w:t>2.4 核心算法流程（伪代码）</w:t>
      </w:r>
    </w:p>
    <w:p>
      <w:pPr>
        <w:spacing w:line="360" w:lineRule="auto" w:after="120"/>
        <w:ind w:firstLine="480"/>
      </w:pPr>
      <w:r>
        <w:rPr>
          <w:rFonts w:ascii="宋体" w:hAnsi="宋体" w:eastAsia="宋体"/>
          <w:b/>
          <w:sz w:val="24"/>
        </w:rPr>
        <w:t>算法 1：MD&amp;A 章节定位与语料抽取</w:t>
      </w:r>
    </w:p>
    <w:p>
      <w:pPr>
        <w:spacing w:line="240" w:lineRule="auto"/>
        <w:ind w:left="340"/>
      </w:pPr>
      <w:r>
        <w:rPr>
          <w:rFonts w:ascii="Consolas" w:hAnsi="Consolas" w:eastAsia="Consolas"/>
          <w:b w:val="0"/>
          <w:sz w:val="17"/>
        </w:rPr>
        <w:t>输入：年报 PDF 文件 F，目录页判定阈值 τ=3</w:t>
        <w:br/>
        <w:t>输出：清洗后的 MD&amp;A 文本 T，抽取诊断指标</w:t>
        <w:br/>
        <w:br/>
        <w:t>1  将 F 逐页解析为页文本列表 P[1..n]</w:t>
        <w:br/>
        <w:t>2  对每个页 i：若 P[i] 中形如"……"的引导点行 ≥ τ，标记 i 为目录页</w:t>
        <w:br/>
        <w:t>3  for i = 1 to n:                       // 定位章节起点</w:t>
        <w:br/>
        <w:t>4       if i 是目录页: continue</w:t>
        <w:br/>
        <w:t>5       if P[i] 匹配  ^第[一二三四五六七八九十]+[节篇章]\s*(管理层讨论与分析|经营情况讨论与分析)</w:t>
        <w:br/>
        <w:t>6            或匹配      ^(管理层讨论与分析|经营情况讨论与分析)\s*$:</w:t>
        <w:br/>
        <w:t>7           记录 (i, 节序号 s); break</w:t>
        <w:br/>
        <w:t>8  for j = i+1 to n:                      // 定位章节终点</w:t>
        <w:br/>
        <w:t>9       if P[j] 匹配 ^第[一二三四五六七八九十]+[节篇章] 且 节序号 ≠ s: end = j-1; break</w:t>
        <w:br/>
        <w:t>10 统计区间内所有长度 ≤ 24 且出现频次 ≥ 0.4×页数的行 → 记为页眉页脚集合 B</w:t>
        <w:br/>
        <w:t>11 逐行保留不属于 B、非纯页码、非引导点行、非空行的文本，拼接得到 T</w:t>
        <w:br/>
        <w:t>12 若第 5 行未命中任何标题，则回退为"首非目录页至末页"并标记 method=fallback</w:t>
        <w:br/>
        <w:t>13 return T, {起点页, 终点页, 节序号, method, 字符数}</w:t>
      </w:r>
    </w:p>
    <w:p>
      <w:pPr>
        <w:spacing w:line="360" w:lineRule="auto" w:after="120"/>
        <w:ind w:firstLine="480"/>
      </w:pPr>
      <w:r>
        <w:rPr>
          <w:rFonts w:ascii="宋体" w:hAnsi="宋体" w:eastAsia="宋体"/>
          <w:b/>
          <w:sz w:val="24"/>
        </w:rPr>
        <w:t>算法 2：带语境约束的词典匹配（v2.0）</w:t>
      </w:r>
    </w:p>
    <w:p>
      <w:pPr>
        <w:spacing w:line="240" w:lineRule="auto"/>
        <w:ind w:left="340"/>
      </w:pPr>
      <w:r>
        <w:rPr>
          <w:rFonts w:ascii="Consolas" w:hAnsi="Consolas" w:eastAsia="Consolas"/>
          <w:b w:val="0"/>
          <w:sz w:val="17"/>
        </w:rPr>
        <w:t>输入：有效词序列 toks[1..m]，词典 D = {词 w → (侧面 f, 禁后邻 Next(w), 禁前邻 Prev(w))}</w:t>
        <w:br/>
        <w:t>输出：总命中 hits，分侧面命中 hits[f]</w:t>
        <w:br/>
        <w:br/>
        <w:t>1  hits ← 0;  for each f: hits[f] ← 0</w:t>
        <w:br/>
        <w:t>2  for i = 1 to m:</w:t>
        <w:br/>
        <w:t>3       w ← toks[i]</w:t>
        <w:br/>
        <w:t>4       if w ∉ D: continue</w:t>
        <w:br/>
        <w:t>5       (f, Next, Prev) ← D[w]</w:t>
        <w:br/>
        <w:t>6       if 集合 {toks[i+1], toks[i+2]} ∩ Next(w) ≠ ∅: continue   // 后邻中和，剔除</w:t>
        <w:br/>
        <w:t>7       if toks[i-1] ∈ Prev(w): continue                          // 前邻中和，剔除</w:t>
        <w:br/>
        <w:t>8       hits ← hits + 1;  hits[f] ← hits[f] + 1</w:t>
        <w:br/>
        <w:t>9      记录索引行 (toks[i-12..i-1], w, toks[i+1..i+12]) 供人工内容效度判读</w:t>
        <w:br/>
        <w:t>10 return hits, hits[]</w:t>
      </w:r>
    </w:p>
    <w:p>
      <w:pPr>
        <w:spacing w:line="360" w:lineRule="auto" w:after="120"/>
        <w:ind w:firstLine="480"/>
      </w:pPr>
      <w:r>
        <w:rPr>
          <w:rFonts w:ascii="宋体" w:hAnsi="宋体" w:eastAsia="宋体"/>
          <w:b w:val="0"/>
          <w:sz w:val="24"/>
        </w:rPr>
        <w:t>其中第 6 行的"窗口取 2"是为了兼容中文分词的不确定性——例如"长期股权投资"既可能被切为单个复合词，也可能被切成"长期/股权/投资"，取 2 词窗口可以同时覆盖两种情形。</w:t>
      </w:r>
    </w:p>
    <w:p>
      <w:pPr>
        <w:spacing w:before="280" w:after="160"/>
        <w:jc w:val="center"/>
      </w:pPr>
      <w:r>
        <w:rPr>
          <w:rFonts w:ascii="黑体" w:hAnsi="黑体" w:eastAsia="黑体"/>
          <w:b/>
          <w:sz w:val="32"/>
        </w:rPr>
        <w:t>3 文本测度的构建过程</w:t>
      </w:r>
    </w:p>
    <w:p>
      <w:pPr>
        <w:spacing w:before="200"/>
      </w:pPr>
      <w:r>
        <w:rPr>
          <w:rFonts w:ascii="黑体" w:hAnsi="黑体" w:eastAsia="黑体"/>
          <w:b/>
          <w:sz w:val="28"/>
        </w:rPr>
        <w:t>3.1 第一步：语料获取</w:t>
      </w:r>
    </w:p>
    <w:p>
      <w:pPr>
        <w:spacing w:line="360" w:lineRule="auto" w:after="120"/>
        <w:ind w:firstLine="480"/>
      </w:pPr>
      <w:r>
        <w:rPr>
          <w:rFonts w:ascii="宋体" w:hAnsi="宋体" w:eastAsia="宋体"/>
          <w:b/>
          <w:sz w:val="24"/>
        </w:rPr>
        <w:t>（1）样本框的确定。</w:t>
      </w:r>
      <w:r>
        <w:rPr>
          <w:rFonts w:ascii="宋体" w:hAnsi="宋体" w:eastAsia="宋体"/>
          <w:b w:val="0"/>
          <w:sz w:val="24"/>
        </w:rPr>
        <w:t xml:space="preserve"> 通过穷尽枚举沪深两市可能证券代码并逐一查询公司概况接口，以"注册地址以辽宁省开头"为判据筛出样本框。首轮高并发扫描共探测 10 999 个候选代码、收录 4 009 家公司；考虑到超时可能造成丢帧，又进行了两轮补扫直至收敛，最终收录 5 236 家，其中</w:t>
      </w:r>
      <w:r>
        <w:rPr>
          <w:rFonts w:ascii="宋体" w:hAnsi="宋体" w:eastAsia="宋体"/>
          <w:b/>
          <w:sz w:val="24"/>
        </w:rPr>
        <w:t>辽宁省 70 家</w:t>
      </w:r>
      <w:r>
        <w:rPr>
          <w:rFonts w:ascii="宋体" w:hAnsi="宋体" w:eastAsia="宋体"/>
          <w:b w:val="0"/>
          <w:sz w:val="24"/>
        </w:rPr>
        <w:t>。这一"补扫至收敛"的处理保证了样本框的穷尽性，是后续讨论样本代表性的前提。</w:t>
      </w:r>
    </w:p>
    <w:p>
      <w:pPr>
        <w:spacing w:line="360" w:lineRule="auto" w:after="120"/>
        <w:ind w:firstLine="480"/>
      </w:pPr>
      <w:r>
        <w:rPr>
          <w:rFonts w:ascii="宋体" w:hAnsi="宋体" w:eastAsia="宋体"/>
          <w:b/>
          <w:sz w:val="24"/>
        </w:rPr>
        <w:t>（2）年报 PDF 下载。</w:t>
      </w:r>
      <w:r>
        <w:rPr>
          <w:rFonts w:ascii="宋体" w:hAnsi="宋体" w:eastAsia="宋体"/>
          <w:b w:val="0"/>
          <w:sz w:val="24"/>
        </w:rPr>
        <w:t xml:space="preserve"> 检索接口要求 `stock` 参数形如"代码,orgId"，而 orgId 是站方内部编号，</w:t>
      </w:r>
      <w:r>
        <w:rPr>
          <w:rFonts w:ascii="宋体" w:hAnsi="宋体" w:eastAsia="宋体"/>
          <w:b/>
          <w:sz w:val="24"/>
        </w:rPr>
        <w:t>不同板块的编号规则并不统一</w:t>
      </w:r>
      <w:r>
        <w:rPr>
          <w:rFonts w:ascii="宋体" w:hAnsi="宋体" w:eastAsia="宋体"/>
          <w:b w:val="0"/>
          <w:sz w:val="24"/>
        </w:rPr>
        <w:t>（000 段为 `gssz`+7 位码，600 段为 `gssh0`+6 位码，其余板块另有 `9900xxxxxx` 形式编号）。按代码前缀猜测会导致大面积空结果——实测仅 000/600 段命中，002/300/301/601/603/688 段全部返回空，只有 27 家公司被覆盖。修改为</w:t>
      </w:r>
      <w:r>
        <w:rPr>
          <w:rFonts w:ascii="宋体" w:hAnsi="宋体" w:eastAsia="宋体"/>
          <w:b/>
          <w:sz w:val="24"/>
        </w:rPr>
        <w:t>先以公司简称检索获取 orgId、再以"代码+orgId"精确定位</w:t>
      </w:r>
      <w:r>
        <w:rPr>
          <w:rFonts w:ascii="宋体" w:hAnsi="宋体" w:eastAsia="宋体"/>
          <w:b w:val="0"/>
          <w:sz w:val="24"/>
        </w:rPr>
        <w:t>后，全部 70 家公司正常返回，最终</w:t>
      </w:r>
      <w:r>
        <w:rPr>
          <w:rFonts w:ascii="宋体" w:hAnsi="宋体" w:eastAsia="宋体"/>
          <w:b/>
          <w:sz w:val="24"/>
        </w:rPr>
        <w:t>成功下载 2018—2025 年年度报告 477 份，覆盖 69 家公司</w:t>
      </w:r>
      <w:r>
        <w:rPr>
          <w:rFonts w:ascii="宋体" w:hAnsi="宋体" w:eastAsia="宋体"/>
          <w:b w:val="0"/>
          <w:sz w:val="24"/>
        </w:rPr>
        <w:t>。</w:t>
      </w:r>
    </w:p>
    <w:p>
      <w:pPr>
        <w:spacing w:line="360" w:lineRule="auto"/>
        <w:ind w:left="454"/>
      </w:pPr>
      <w:r>
        <w:rPr>
          <w:rFonts w:ascii="楷体" w:hAnsi="楷体" w:eastAsia="楷体"/>
          <w:b w:val="0"/>
          <w:sz w:val="22"/>
        </w:rPr>
        <w:t>踩坑提示：按简称检索时必须再按 `secCode` 过滤。样本中"出版传媒"一名对应多家不同公司（含辽宁以外主体），直接取第一条会把别人的年报当成本公司的。</w:t>
      </w:r>
    </w:p>
    <w:p>
      <w:pPr>
        <w:spacing w:line="360" w:lineRule="auto" w:after="120"/>
        <w:ind w:firstLine="480"/>
      </w:pPr>
      <w:r>
        <w:rPr>
          <w:rFonts w:ascii="宋体" w:hAnsi="宋体" w:eastAsia="宋体"/>
          <w:b/>
          <w:sz w:val="24"/>
        </w:rPr>
        <w:t>（3）财务数据。</w:t>
      </w:r>
      <w:r>
        <w:rPr>
          <w:rFonts w:ascii="宋体" w:hAnsi="宋体" w:eastAsia="宋体"/>
          <w:b w:val="0"/>
          <w:sz w:val="24"/>
        </w:rPr>
        <w:t xml:space="preserve"> 从公开财报接口的利润表、资产负债表与现金流量表中提取营业总收入、研发费用、归母净利润、资产总计、负债合计，以及"购建固定资产、无形资产和其他长期资产所支付的现金"，形成 555 条企业—年份财务观测。</w:t>
      </w:r>
    </w:p>
    <w:p>
      <w:pPr>
        <w:spacing w:before="200"/>
      </w:pPr>
      <w:r>
        <w:rPr>
          <w:rFonts w:ascii="黑体" w:hAnsi="黑体" w:eastAsia="黑体"/>
          <w:b/>
          <w:sz w:val="28"/>
        </w:rPr>
        <w:t>3.2 第二步：文本预处理</w:t>
      </w:r>
    </w:p>
    <w:p>
      <w:pPr>
        <w:spacing w:line="360" w:lineRule="auto" w:after="120"/>
        <w:ind w:firstLine="480"/>
      </w:pPr>
      <w:r>
        <w:rPr>
          <w:rFonts w:ascii="宋体" w:hAnsi="宋体" w:eastAsia="宋体"/>
          <w:b w:val="0"/>
          <w:sz w:val="24"/>
        </w:rPr>
        <w:t>流水线依次为：</w:t>
      </w:r>
    </w:p>
    <w:p>
      <w:pPr>
        <w:spacing w:line="360" w:lineRule="auto" w:after="120"/>
        <w:ind w:firstLine="480"/>
      </w:pPr>
      <w:r>
        <w:rPr>
          <w:rFonts w:ascii="宋体" w:hAnsi="宋体" w:eastAsia="宋体"/>
          <w:b w:val="0"/>
          <w:sz w:val="24"/>
        </w:rPr>
        <w:t xml:space="preserve">1. </w:t>
      </w:r>
      <w:r>
        <w:rPr>
          <w:rFonts w:ascii="宋体" w:hAnsi="宋体" w:eastAsia="宋体"/>
          <w:b/>
          <w:sz w:val="24"/>
        </w:rPr>
        <w:t>文档解析</w:t>
      </w:r>
      <w:r>
        <w:rPr>
          <w:rFonts w:ascii="宋体" w:hAnsi="宋体" w:eastAsia="宋体"/>
          <w:b w:val="0"/>
          <w:sz w:val="24"/>
        </w:rPr>
        <w:t>：PyMuPDF 逐页抽取文本；</w:t>
      </w:r>
    </w:p>
    <w:p>
      <w:pPr>
        <w:spacing w:line="360" w:lineRule="auto" w:after="120"/>
        <w:ind w:firstLine="480"/>
      </w:pPr>
      <w:r>
        <w:rPr>
          <w:rFonts w:ascii="宋体" w:hAnsi="宋体" w:eastAsia="宋体"/>
          <w:b w:val="0"/>
          <w:sz w:val="24"/>
        </w:rPr>
        <w:t xml:space="preserve">2. </w:t>
      </w:r>
      <w:r>
        <w:rPr>
          <w:rFonts w:ascii="宋体" w:hAnsi="宋体" w:eastAsia="宋体"/>
          <w:b/>
          <w:sz w:val="24"/>
        </w:rPr>
        <w:t>MD&amp;A 定位</w:t>
      </w:r>
      <w:r>
        <w:rPr>
          <w:rFonts w:ascii="宋体" w:hAnsi="宋体" w:eastAsia="宋体"/>
          <w:b w:val="0"/>
          <w:sz w:val="24"/>
        </w:rPr>
        <w:t>：扫描非目录页寻找"管理层讨论与分析/经营情况讨论与分析"标题，取首个非目录命中页为起点，之后出现的第一个序号不同的"第 X 节/章/篇"为终点；同时用"跨页高频行"方法自动识别并剔除页眉页脚；</w:t>
      </w:r>
    </w:p>
    <w:p>
      <w:pPr>
        <w:spacing w:line="360" w:lineRule="auto" w:after="120"/>
        <w:ind w:firstLine="480"/>
      </w:pPr>
      <w:r>
        <w:rPr>
          <w:rFonts w:ascii="宋体" w:hAnsi="宋体" w:eastAsia="宋体"/>
          <w:b w:val="0"/>
          <w:sz w:val="24"/>
        </w:rPr>
        <w:t xml:space="preserve">3. </w:t>
      </w:r>
      <w:r>
        <w:rPr>
          <w:rFonts w:ascii="宋体" w:hAnsi="宋体" w:eastAsia="宋体"/>
          <w:b/>
          <w:sz w:val="24"/>
        </w:rPr>
        <w:t>中文分词</w:t>
      </w:r>
      <w:r>
        <w:rPr>
          <w:rFonts w:ascii="宋体" w:hAnsi="宋体" w:eastAsia="宋体"/>
          <w:b w:val="0"/>
          <w:sz w:val="24"/>
        </w:rPr>
        <w:t>：jieba 精确模式，并把词典词加入用户词典以保护复合词不被切碎；</w:t>
      </w:r>
    </w:p>
    <w:p>
      <w:pPr>
        <w:spacing w:line="360" w:lineRule="auto" w:after="120"/>
        <w:ind w:firstLine="480"/>
      </w:pPr>
      <w:r>
        <w:rPr>
          <w:rFonts w:ascii="宋体" w:hAnsi="宋体" w:eastAsia="宋体"/>
          <w:b w:val="0"/>
          <w:sz w:val="24"/>
        </w:rPr>
        <w:t xml:space="preserve">4. </w:t>
      </w:r>
      <w:r>
        <w:rPr>
          <w:rFonts w:ascii="宋体" w:hAnsi="宋体" w:eastAsia="宋体"/>
          <w:b/>
          <w:sz w:val="24"/>
        </w:rPr>
        <w:t>去停用词</w:t>
      </w:r>
      <w:r>
        <w:rPr>
          <w:rFonts w:ascii="宋体" w:hAnsi="宋体" w:eastAsia="宋体"/>
          <w:b w:val="0"/>
          <w:sz w:val="24"/>
        </w:rPr>
        <w:t>：通用汉语停用词与财经领域停用词合计 183 词（如"报告期""同比""万元"等）；</w:t>
      </w:r>
    </w:p>
    <w:p>
      <w:pPr>
        <w:spacing w:line="360" w:lineRule="auto" w:after="120"/>
        <w:ind w:firstLine="480"/>
      </w:pPr>
      <w:r>
        <w:rPr>
          <w:rFonts w:ascii="宋体" w:hAnsi="宋体" w:eastAsia="宋体"/>
          <w:b w:val="0"/>
          <w:sz w:val="24"/>
        </w:rPr>
        <w:t xml:space="preserve">5. </w:t>
      </w:r>
      <w:r>
        <w:rPr>
          <w:rFonts w:ascii="宋体" w:hAnsi="宋体" w:eastAsia="宋体"/>
          <w:b/>
          <w:sz w:val="24"/>
        </w:rPr>
        <w:t>词形归一</w:t>
      </w:r>
      <w:r>
        <w:rPr>
          <w:rFonts w:ascii="宋体" w:hAnsi="宋体" w:eastAsia="宋体"/>
          <w:b w:val="0"/>
          <w:sz w:val="24"/>
        </w:rPr>
        <w:t>：剔除纯数字与纯符号 token，仅保留含汉字的词条。</w:t>
      </w:r>
    </w:p>
    <w:p>
      <w:pPr>
        <w:spacing w:line="360" w:lineRule="auto" w:after="120"/>
        <w:ind w:firstLine="480"/>
      </w:pPr>
      <w:r>
        <w:rPr>
          <w:rFonts w:ascii="宋体" w:hAnsi="宋体" w:eastAsia="宋体"/>
          <w:b w:val="0"/>
          <w:sz w:val="24"/>
        </w:rPr>
        <w:t xml:space="preserve">477 份文档中，474 份由章节规则成功定位 MD&amp;A，仅 3 份回退到全文模式。抽取结果的中位数为 </w:t>
      </w:r>
      <w:r>
        <w:rPr>
          <w:rFonts w:ascii="宋体" w:hAnsi="宋体" w:eastAsia="宋体"/>
          <w:b/>
          <w:sz w:val="24"/>
        </w:rPr>
        <w:t>20 页、6 663 个分词、5 052 个有效词</w:t>
      </w:r>
      <w:r>
        <w:rPr>
          <w:rFonts w:ascii="宋体" w:hAnsi="宋体" w:eastAsia="宋体"/>
          <w:b w:val="0"/>
          <w:sz w:val="24"/>
        </w:rPr>
        <w:t>，规模稳定（见图 3-0）。</w:t>
      </w:r>
    </w:p>
    <w:p>
      <w:pPr>
        <w:jc w:val="center"/>
      </w:pPr>
      <w:r>
        <w:drawing>
          <wp:inline xmlns:a="http://schemas.openxmlformats.org/drawingml/2006/main" xmlns:pic="http://schemas.openxmlformats.org/drawingml/2006/picture">
            <wp:extent cx="4860000" cy="2503636"/>
            <wp:docPr id="1" name="Picture 1"/>
            <wp:cNvGraphicFramePr>
              <a:graphicFrameLocks noChangeAspect="1"/>
            </wp:cNvGraphicFramePr>
            <a:graphic>
              <a:graphicData uri="http://schemas.openxmlformats.org/drawingml/2006/picture">
                <pic:pic>
                  <pic:nvPicPr>
                    <pic:cNvPr id="0" name="fig3-0_mda_length.png"/>
                    <pic:cNvPicPr/>
                  </pic:nvPicPr>
                  <pic:blipFill>
                    <a:blip r:embed="rId9"/>
                    <a:stretch>
                      <a:fillRect/>
                    </a:stretch>
                  </pic:blipFill>
                  <pic:spPr>
                    <a:xfrm>
                      <a:off x="0" y="0"/>
                      <a:ext cx="4860000" cy="2503636"/>
                    </a:xfrm>
                    <a:prstGeom prst="rect"/>
                  </pic:spPr>
                </pic:pic>
              </a:graphicData>
            </a:graphic>
          </wp:inline>
        </w:drawing>
      </w:r>
    </w:p>
    <w:p>
      <w:pPr>
        <w:jc w:val="center"/>
      </w:pPr>
      <w:r>
        <w:rPr>
          <w:rFonts w:ascii="宋体" w:hAnsi="宋体" w:eastAsia="宋体"/>
          <w:b w:val="0"/>
          <w:sz w:val="21"/>
        </w:rPr>
        <w:t>图3-0 MD&amp;A 抽取结果的篇幅分布</w:t>
      </w:r>
    </w:p>
    <w:p>
      <w:pPr>
        <w:spacing w:line="360" w:lineRule="auto"/>
        <w:ind w:left="454"/>
      </w:pPr>
      <w:r>
        <w:rPr>
          <w:rFonts w:ascii="楷体" w:hAnsi="楷体" w:eastAsia="楷体"/>
          <w:b w:val="0"/>
          <w:sz w:val="22"/>
        </w:rPr>
        <w:t>一处须铭记的教训：初版停用词表曾把"股东大会""董事会"等治理类实词误列为停用词，结果"临时股东大会"被切成一个孤立词，"临时"得以绕过后续的语境剔除并被大量误计。停用词表剔除的必须是无信息量的功能词，而治理实体恰恰是判断语境所必需的。</w:t>
      </w:r>
    </w:p>
    <w:p>
      <w:pPr>
        <w:spacing w:line="360" w:lineRule="auto" w:after="120"/>
        <w:ind w:firstLine="480"/>
      </w:pPr>
      <w:r>
        <w:rPr>
          <w:rFonts w:ascii="宋体" w:hAnsi="宋体" w:eastAsia="宋体"/>
          <w:b/>
          <w:sz w:val="24"/>
        </w:rPr>
        <w:t>（6）分词路线选择。</w:t>
      </w:r>
      <w:r>
        <w:rPr>
          <w:rFonts w:ascii="宋体" w:hAnsi="宋体" w:eastAsia="宋体"/>
          <w:b w:val="0"/>
          <w:sz w:val="24"/>
        </w:rPr>
        <w:t xml:space="preserve"> 中文分词存在精确模式、全模式、搜索引擎模式三选。本文选择</w:t>
      </w:r>
      <w:r>
        <w:rPr>
          <w:rFonts w:ascii="宋体" w:hAnsi="宋体" w:eastAsia="宋体"/>
          <w:b/>
          <w:sz w:val="24"/>
        </w:rPr>
        <w:t>精确模式</w:t>
      </w:r>
      <w:r>
        <w:rPr>
          <w:rFonts w:ascii="宋体" w:hAnsi="宋体" w:eastAsia="宋体"/>
          <w:b w:val="0"/>
          <w:sz w:val="24"/>
        </w:rPr>
        <w:t>，理由是：全模式会产生大量重叠词条从而放大词频；搜索引擎模式会把专有名词切碎（如"管理层讨论"被拆为"管理/层/讨论"），破坏短视复合词的完整性。同时，本文把全部词典词条以高词频（freq=10000）注册进 jieba 用户词典，以保证"短期内""短期利益""立竿见影"等复合词被整体切出、不被拆解。</w:t>
      </w:r>
    </w:p>
    <w:p>
      <w:pPr>
        <w:spacing w:before="200"/>
      </w:pPr>
      <w:r>
        <w:rPr>
          <w:rFonts w:ascii="黑体" w:hAnsi="黑体" w:eastAsia="黑体"/>
          <w:b/>
          <w:sz w:val="28"/>
        </w:rPr>
        <w:t>3.3 第三步：特征提取之路线一——词典法</w:t>
      </w:r>
    </w:p>
    <w:p>
      <w:pPr>
        <w:spacing w:line="360" w:lineRule="auto" w:after="120"/>
        <w:ind w:firstLine="480"/>
      </w:pPr>
      <w:r>
        <w:rPr>
          <w:rFonts w:ascii="宋体" w:hAnsi="宋体" w:eastAsia="宋体"/>
          <w:b/>
          <w:sz w:val="24"/>
        </w:rPr>
        <w:t>（1）初始词典 v1.0。</w:t>
      </w:r>
      <w:r>
        <w:rPr>
          <w:rFonts w:ascii="宋体" w:hAnsi="宋体" w:eastAsia="宋体"/>
          <w:b w:val="0"/>
          <w:sz w:val="24"/>
        </w:rPr>
        <w:t xml:space="preserve"> 依据行为经济学短期视域理论，按四个语义侧面人工筛选 43 个中文词条：A 短周期限定（如"短期""眼前"）、B 时间紧迫（如"尽快""立竿见影"）、C 权宜应对（如"临时""应急"）、D 即期收益（如"短期利益""短平快"）。</w:t>
      </w:r>
    </w:p>
    <w:p>
      <w:pPr>
        <w:spacing w:line="360" w:lineRule="auto" w:after="120"/>
        <w:ind w:firstLine="480"/>
      </w:pPr>
      <w:r>
        <w:rPr>
          <w:rFonts w:ascii="宋体" w:hAnsi="宋体" w:eastAsia="宋体"/>
          <w:b/>
          <w:sz w:val="24"/>
        </w:rPr>
        <w:t>（2）第一轮内容效度检验：失败。</w:t>
      </w:r>
      <w:r>
        <w:rPr>
          <w:rFonts w:ascii="宋体" w:hAnsi="宋体" w:eastAsia="宋体"/>
          <w:b w:val="0"/>
          <w:sz w:val="24"/>
        </w:rPr>
        <w:t xml:space="preserve"> 从全部命中中分层随机抽样判读，结果显示误命中高度集中且成因清晰：</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pPr>
              <w:jc w:val="center"/>
            </w:pPr>
            <w:r/>
            <w:r>
              <w:rPr>
                <w:rFonts w:ascii="宋体" w:hAnsi="宋体" w:eastAsia="宋体"/>
                <w:b/>
                <w:sz w:val="19"/>
              </w:rPr>
              <w:t>词条</w:t>
            </w:r>
          </w:p>
        </w:tc>
        <w:tc>
          <w:tcPr>
            <w:tcW w:type="dxa" w:w="2209"/>
          </w:tcPr>
          <w:p>
            <w:pPr>
              <w:jc w:val="center"/>
            </w:pPr>
            <w:r/>
            <w:r>
              <w:rPr>
                <w:rFonts w:ascii="宋体" w:hAnsi="宋体" w:eastAsia="宋体"/>
                <w:b/>
                <w:sz w:val="19"/>
              </w:rPr>
              <w:t>v1.0 命中</w:t>
            </w:r>
          </w:p>
        </w:tc>
        <w:tc>
          <w:tcPr>
            <w:tcW w:type="dxa" w:w="2209"/>
          </w:tcPr>
          <w:p>
            <w:pPr>
              <w:jc w:val="center"/>
            </w:pPr>
            <w:r/>
            <w:r>
              <w:rPr>
                <w:rFonts w:ascii="宋体" w:hAnsi="宋体" w:eastAsia="宋体"/>
                <w:b/>
                <w:sz w:val="19"/>
              </w:rPr>
              <w:t>主要误命中来源</w:t>
            </w:r>
          </w:p>
        </w:tc>
        <w:tc>
          <w:tcPr>
            <w:tcW w:type="dxa" w:w="2209"/>
          </w:tcPr>
          <w:p>
            <w:pPr>
              <w:jc w:val="center"/>
            </w:pPr>
            <w:r/>
            <w:r>
              <w:rPr>
                <w:rFonts w:ascii="宋体" w:hAnsi="宋体" w:eastAsia="宋体"/>
                <w:b/>
                <w:sz w:val="19"/>
              </w:rPr>
              <w:t>占比</w:t>
            </w:r>
          </w:p>
        </w:tc>
      </w:tr>
      <w:tr>
        <w:tc>
          <w:tcPr>
            <w:tcW w:type="dxa" w:w="2209"/>
          </w:tcPr>
          <w:p>
            <w:pPr>
              <w:jc w:val="center"/>
            </w:pPr>
            <w:r/>
            <w:r>
              <w:rPr>
                <w:rFonts w:ascii="宋体" w:hAnsi="宋体" w:eastAsia="宋体"/>
                <w:b w:val="0"/>
                <w:sz w:val="19"/>
              </w:rPr>
              <w:t>短期</w:t>
            </w:r>
          </w:p>
        </w:tc>
        <w:tc>
          <w:tcPr>
            <w:tcW w:type="dxa" w:w="2209"/>
          </w:tcPr>
          <w:p>
            <w:pPr>
              <w:jc w:val="center"/>
            </w:pPr>
            <w:r/>
            <w:r>
              <w:rPr>
                <w:rFonts w:ascii="宋体" w:hAnsi="宋体" w:eastAsia="宋体"/>
                <w:b w:val="0"/>
                <w:sz w:val="19"/>
              </w:rPr>
              <w:t>613</w:t>
            </w:r>
          </w:p>
        </w:tc>
        <w:tc>
          <w:tcPr>
            <w:tcW w:type="dxa" w:w="2209"/>
          </w:tcPr>
          <w:p>
            <w:pPr>
              <w:jc w:val="center"/>
            </w:pPr>
            <w:r/>
            <w:r>
              <w:rPr>
                <w:rFonts w:ascii="宋体" w:hAnsi="宋体" w:eastAsia="宋体"/>
                <w:b w:val="0"/>
                <w:sz w:val="19"/>
              </w:rPr>
              <w:t>短期借款（会计科目）</w:t>
            </w:r>
          </w:p>
        </w:tc>
        <w:tc>
          <w:tcPr>
            <w:tcW w:type="dxa" w:w="2209"/>
          </w:tcPr>
          <w:p>
            <w:pPr>
              <w:jc w:val="center"/>
            </w:pPr>
            <w:r/>
            <w:r>
              <w:rPr>
                <w:rFonts w:ascii="宋体" w:hAnsi="宋体" w:eastAsia="宋体"/>
                <w:b w:val="0"/>
                <w:sz w:val="19"/>
              </w:rPr>
              <w:t>73%</w:t>
            </w:r>
          </w:p>
        </w:tc>
      </w:tr>
      <w:tr>
        <w:tc>
          <w:tcPr>
            <w:tcW w:type="dxa" w:w="2209"/>
          </w:tcPr>
          <w:p>
            <w:pPr>
              <w:jc w:val="center"/>
            </w:pPr>
            <w:r/>
            <w:r>
              <w:rPr>
                <w:rFonts w:ascii="宋体" w:hAnsi="宋体" w:eastAsia="宋体"/>
                <w:b w:val="0"/>
                <w:sz w:val="19"/>
              </w:rPr>
              <w:t>暂时</w:t>
            </w:r>
          </w:p>
        </w:tc>
        <w:tc>
          <w:tcPr>
            <w:tcW w:type="dxa" w:w="2209"/>
          </w:tcPr>
          <w:p>
            <w:pPr>
              <w:jc w:val="center"/>
            </w:pPr>
            <w:r/>
            <w:r>
              <w:rPr>
                <w:rFonts w:ascii="宋体" w:hAnsi="宋体" w:eastAsia="宋体"/>
                <w:b w:val="0"/>
                <w:sz w:val="19"/>
              </w:rPr>
              <w:t>443</w:t>
            </w:r>
          </w:p>
        </w:tc>
        <w:tc>
          <w:tcPr>
            <w:tcW w:type="dxa" w:w="2209"/>
          </w:tcPr>
          <w:p>
            <w:pPr>
              <w:jc w:val="center"/>
            </w:pPr>
            <w:r/>
            <w:r>
              <w:rPr>
                <w:rFonts w:ascii="宋体" w:hAnsi="宋体" w:eastAsia="宋体"/>
                <w:b w:val="0"/>
                <w:sz w:val="19"/>
              </w:rPr>
              <w:t>闲置募集资金暂时补充流动资金</w:t>
            </w:r>
          </w:p>
        </w:tc>
        <w:tc>
          <w:tcPr>
            <w:tcW w:type="dxa" w:w="2209"/>
          </w:tcPr>
          <w:p>
            <w:pPr>
              <w:jc w:val="center"/>
            </w:pPr>
            <w:r/>
            <w:r>
              <w:rPr>
                <w:rFonts w:ascii="宋体" w:hAnsi="宋体" w:eastAsia="宋体"/>
                <w:b w:val="0"/>
                <w:sz w:val="19"/>
              </w:rPr>
              <w:t>82%</w:t>
            </w:r>
          </w:p>
        </w:tc>
      </w:tr>
      <w:tr>
        <w:tc>
          <w:tcPr>
            <w:tcW w:type="dxa" w:w="2209"/>
          </w:tcPr>
          <w:p>
            <w:pPr>
              <w:jc w:val="center"/>
            </w:pPr>
            <w:r/>
            <w:r>
              <w:rPr>
                <w:rFonts w:ascii="宋体" w:hAnsi="宋体" w:eastAsia="宋体"/>
                <w:b w:val="0"/>
                <w:sz w:val="19"/>
              </w:rPr>
              <w:t>临时</w:t>
            </w:r>
          </w:p>
        </w:tc>
        <w:tc>
          <w:tcPr>
            <w:tcW w:type="dxa" w:w="2209"/>
          </w:tcPr>
          <w:p>
            <w:pPr>
              <w:jc w:val="center"/>
            </w:pPr>
            <w:r/>
            <w:r>
              <w:rPr>
                <w:rFonts w:ascii="宋体" w:hAnsi="宋体" w:eastAsia="宋体"/>
                <w:b w:val="0"/>
                <w:sz w:val="19"/>
              </w:rPr>
              <w:t>331</w:t>
            </w:r>
          </w:p>
        </w:tc>
        <w:tc>
          <w:tcPr>
            <w:tcW w:type="dxa" w:w="2209"/>
          </w:tcPr>
          <w:p>
            <w:pPr>
              <w:jc w:val="center"/>
            </w:pPr>
            <w:r/>
            <w:r>
              <w:rPr>
                <w:rFonts w:ascii="宋体" w:hAnsi="宋体" w:eastAsia="宋体"/>
                <w:b w:val="0"/>
                <w:sz w:val="19"/>
              </w:rPr>
              <w:t>临时股东大会、临时键合（半导体工艺）</w:t>
            </w:r>
          </w:p>
        </w:tc>
        <w:tc>
          <w:tcPr>
            <w:tcW w:type="dxa" w:w="2209"/>
          </w:tcPr>
          <w:p>
            <w:pPr>
              <w:jc w:val="center"/>
            </w:pPr>
            <w:r/>
            <w:r>
              <w:rPr>
                <w:rFonts w:ascii="宋体" w:hAnsi="宋体" w:eastAsia="宋体"/>
                <w:b w:val="0"/>
                <w:sz w:val="19"/>
              </w:rPr>
              <w:t>—</w:t>
            </w:r>
          </w:p>
        </w:tc>
      </w:tr>
      <w:tr>
        <w:tc>
          <w:tcPr>
            <w:tcW w:type="dxa" w:w="2209"/>
          </w:tcPr>
          <w:p>
            <w:pPr>
              <w:jc w:val="center"/>
            </w:pPr>
            <w:r/>
            <w:r>
              <w:rPr>
                <w:rFonts w:ascii="宋体" w:hAnsi="宋体" w:eastAsia="宋体"/>
                <w:b w:val="0"/>
                <w:sz w:val="19"/>
              </w:rPr>
              <w:t>应急</w:t>
            </w:r>
          </w:p>
        </w:tc>
        <w:tc>
          <w:tcPr>
            <w:tcW w:type="dxa" w:w="2209"/>
          </w:tcPr>
          <w:p>
            <w:pPr>
              <w:jc w:val="center"/>
            </w:pPr>
            <w:r/>
            <w:r>
              <w:rPr>
                <w:rFonts w:ascii="宋体" w:hAnsi="宋体" w:eastAsia="宋体"/>
                <w:b w:val="0"/>
                <w:sz w:val="19"/>
              </w:rPr>
              <w:t>375</w:t>
            </w:r>
          </w:p>
        </w:tc>
        <w:tc>
          <w:tcPr>
            <w:tcW w:type="dxa" w:w="2209"/>
          </w:tcPr>
          <w:p>
            <w:pPr>
              <w:jc w:val="center"/>
            </w:pPr>
            <w:r/>
            <w:r>
              <w:rPr>
                <w:rFonts w:ascii="宋体" w:hAnsi="宋体" w:eastAsia="宋体"/>
                <w:b w:val="0"/>
                <w:sz w:val="19"/>
              </w:rPr>
              <w:t>应急救援/体系/管理局（行业与政务表述）</w:t>
            </w:r>
          </w:p>
        </w:tc>
        <w:tc>
          <w:tcPr>
            <w:tcW w:type="dxa" w:w="2209"/>
          </w:tcPr>
          <w:p>
            <w:pPr>
              <w:jc w:val="center"/>
            </w:pPr>
            <w:r/>
            <w:r>
              <w:rPr>
                <w:rFonts w:ascii="宋体" w:hAnsi="宋体" w:eastAsia="宋体"/>
                <w:b w:val="0"/>
                <w:sz w:val="19"/>
              </w:rPr>
              <w:t>—</w:t>
            </w:r>
          </w:p>
        </w:tc>
      </w:tr>
      <w:tr>
        <w:tc>
          <w:tcPr>
            <w:tcW w:type="dxa" w:w="2209"/>
          </w:tcPr>
          <w:p>
            <w:pPr>
              <w:jc w:val="center"/>
            </w:pPr>
            <w:r/>
            <w:r>
              <w:rPr>
                <w:rFonts w:ascii="宋体" w:hAnsi="宋体" w:eastAsia="宋体"/>
                <w:b w:val="0"/>
                <w:sz w:val="19"/>
              </w:rPr>
              <w:t>眼前</w:t>
            </w:r>
          </w:p>
        </w:tc>
        <w:tc>
          <w:tcPr>
            <w:tcW w:type="dxa" w:w="2209"/>
          </w:tcPr>
          <w:p>
            <w:pPr>
              <w:jc w:val="center"/>
            </w:pPr>
            <w:r/>
            <w:r>
              <w:rPr>
                <w:rFonts w:ascii="宋体" w:hAnsi="宋体" w:eastAsia="宋体"/>
                <w:b w:val="0"/>
                <w:sz w:val="19"/>
              </w:rPr>
              <w:t>17</w:t>
            </w:r>
          </w:p>
        </w:tc>
        <w:tc>
          <w:tcPr>
            <w:tcW w:type="dxa" w:w="2209"/>
          </w:tcPr>
          <w:p>
            <w:pPr>
              <w:jc w:val="center"/>
            </w:pPr>
            <w:r/>
            <w:r>
              <w:rPr>
                <w:rFonts w:ascii="宋体" w:hAnsi="宋体" w:eastAsia="宋体"/>
                <w:b w:val="0"/>
                <w:sz w:val="19"/>
              </w:rPr>
              <w:t>眼前节（眼科医学名词）</w:t>
            </w:r>
          </w:p>
        </w:tc>
        <w:tc>
          <w:tcPr>
            <w:tcW w:type="dxa" w:w="2209"/>
          </w:tcPr>
          <w:p>
            <w:pPr>
              <w:jc w:val="center"/>
            </w:pPr>
            <w:r/>
            <w:r>
              <w:rPr>
                <w:rFonts w:ascii="宋体" w:hAnsi="宋体" w:eastAsia="宋体"/>
                <w:b w:val="0"/>
                <w:sz w:val="19"/>
              </w:rPr>
              <w:t>71%</w:t>
            </w:r>
          </w:p>
        </w:tc>
      </w:tr>
    </w:tbl>
    <w:p/>
    <w:p>
      <w:pPr>
        <w:spacing w:line="360" w:lineRule="auto"/>
        <w:ind w:left="454"/>
      </w:pPr>
      <w:r>
        <w:rPr>
          <w:rFonts w:ascii="楷体" w:hAnsi="楷体" w:eastAsia="楷体"/>
          <w:b w:val="0"/>
          <w:sz w:val="22"/>
        </w:rPr>
        <w:t>典型实例：`某样本句` 抽取到的句子为"本次发行所募集资金一部分【暂时】处于闲置状态"——这是募集资金的例行披露，与管理层视野毫无关系。</w:t>
      </w:r>
    </w:p>
    <w:p>
      <w:pPr>
        <w:spacing w:line="360" w:lineRule="auto" w:after="120"/>
        <w:ind w:firstLine="480"/>
      </w:pPr>
      <w:r>
        <w:rPr>
          <w:rFonts w:ascii="宋体" w:hAnsi="宋体" w:eastAsia="宋体"/>
          <w:b/>
          <w:sz w:val="24"/>
        </w:rPr>
        <w:t>（3）词典修订 v2.0。</w:t>
      </w:r>
      <w:r>
        <w:rPr>
          <w:rFonts w:ascii="宋体" w:hAnsi="宋体" w:eastAsia="宋体"/>
          <w:b w:val="0"/>
          <w:sz w:val="24"/>
        </w:rPr>
        <w:t xml:space="preserve"> 按三条规则重构：</w:t>
      </w:r>
    </w:p>
    <w:p>
      <w:pPr>
        <w:pStyle w:val="ListBullet"/>
      </w:pPr>
    </w:p>
    <w:p>
      <w:pPr>
        <w:pStyle w:val="ListBullet"/>
      </w:pPr>
    </w:p>
    <w:p>
      <w:pPr>
        <w:pStyle w:val="ListBullet"/>
      </w:pPr>
    </w:p>
    <w:p>
      <w:pPr>
        <w:spacing w:line="360" w:lineRule="auto" w:after="120"/>
        <w:ind w:firstLine="480"/>
      </w:pPr>
      <w:r>
        <w:rPr>
          <w:rFonts w:ascii="宋体" w:hAnsi="宋体" w:eastAsia="宋体"/>
          <w:b w:val="0"/>
          <w:sz w:val="24"/>
        </w:rPr>
        <w:t>结果：词典减至 37 词，全样本命中由 2 085 次降至 356 次，</w:t>
      </w:r>
      <w:r>
        <w:rPr>
          <w:rFonts w:ascii="宋体" w:hAnsi="宋体" w:eastAsia="宋体"/>
          <w:b/>
          <w:sz w:val="24"/>
        </w:rPr>
        <w:t>剔除率 82.9%</w:t>
      </w:r>
      <w:r>
        <w:rPr>
          <w:rFonts w:ascii="宋体" w:hAnsi="宋体" w:eastAsia="宋体"/>
          <w:b w:val="0"/>
          <w:sz w:val="24"/>
        </w:rPr>
        <w:t>。各词条的修订效果如图 3-1 所示。</w:t>
      </w:r>
    </w:p>
    <w:p>
      <w:pPr>
        <w:jc w:val="center"/>
      </w:pPr>
      <w:r>
        <w:drawing>
          <wp:inline xmlns:a="http://schemas.openxmlformats.org/drawingml/2006/main" xmlns:pic="http://schemas.openxmlformats.org/drawingml/2006/picture">
            <wp:extent cx="4860000" cy="2551500"/>
            <wp:docPr id="2" name="Picture 2"/>
            <wp:cNvGraphicFramePr>
              <a:graphicFrameLocks noChangeAspect="1"/>
            </wp:cNvGraphicFramePr>
            <a:graphic>
              <a:graphicData uri="http://schemas.openxmlformats.org/drawingml/2006/picture">
                <pic:pic>
                  <pic:nvPicPr>
                    <pic:cNvPr id="0" name="fig3-1_dict_v1_v2.png"/>
                    <pic:cNvPicPr/>
                  </pic:nvPicPr>
                  <pic:blipFill>
                    <a:blip r:embed="rId10"/>
                    <a:stretch>
                      <a:fillRect/>
                    </a:stretch>
                  </pic:blipFill>
                  <pic:spPr>
                    <a:xfrm>
                      <a:off x="0" y="0"/>
                      <a:ext cx="4860000" cy="2551500"/>
                    </a:xfrm>
                    <a:prstGeom prst="rect"/>
                  </pic:spPr>
                </pic:pic>
              </a:graphicData>
            </a:graphic>
          </wp:inline>
        </w:drawing>
      </w:r>
    </w:p>
    <w:p>
      <w:pPr>
        <w:jc w:val="center"/>
      </w:pPr>
      <w:r>
        <w:rPr>
          <w:rFonts w:ascii="宋体" w:hAnsi="宋体" w:eastAsia="宋体"/>
          <w:b w:val="0"/>
          <w:sz w:val="21"/>
        </w:rPr>
        <w:t>图3-1 短视词典修订前后的词条命中对比</w:t>
      </w:r>
    </w:p>
    <w:p>
      <w:pPr>
        <w:spacing w:line="360" w:lineRule="auto" w:after="120"/>
        <w:ind w:firstLine="480"/>
      </w:pPr>
      <w:r>
        <w:rPr>
          <w:rFonts w:ascii="宋体" w:hAnsi="宋体" w:eastAsia="宋体"/>
          <w:b/>
          <w:sz w:val="24"/>
        </w:rPr>
        <w:t>（4）第二轮判读：仍然不够。</w:t>
      </w:r>
      <w:r>
        <w:rPr>
          <w:rFonts w:ascii="宋体" w:hAnsi="宋体" w:eastAsia="宋体"/>
          <w:b w:val="0"/>
          <w:sz w:val="24"/>
        </w:rPr>
        <w:t xml:space="preserve"> 对修订后命中的 52 条分层抽样进行严格判读，判据为"该处语境是否体现管理层把决策视野限定在近期、或以牺牲长期为代价追求当期结果的倾向。"结果为</w:t>
      </w:r>
      <w:r>
        <w:rPr>
          <w:rFonts w:ascii="宋体" w:hAnsi="宋体" w:eastAsia="宋体"/>
          <w:b/>
          <w:sz w:val="24"/>
        </w:rPr>
        <w:t>严格口径精确率 5.77%（3/52），宽口径 ("句中含短期时间视野语义，不论主体") 亦仅 23.08%</w:t>
      </w:r>
      <w:r>
        <w:rPr>
          <w:rFonts w:ascii="宋体" w:hAnsi="宋体" w:eastAsia="宋体"/>
          <w:b w:val="0"/>
          <w:sz w:val="24"/>
        </w:rPr>
        <w:t>。误命中的剩余类型主要有三类：外部宏观/行业形势描述（"短期内俄乌冲突加剧盈利波动"）、正常经营效率表述（"尽快满足客户需求""争取产品早日上市"）、以及由用户词典引发的分词错误（"快速【速成】长"）。</w:t>
      </w:r>
    </w:p>
    <w:p>
      <w:pPr>
        <w:spacing w:line="360" w:lineRule="auto" w:after="120"/>
        <w:ind w:firstLine="480"/>
      </w:pPr>
      <w:r>
        <w:rPr>
          <w:rFonts w:ascii="宋体" w:hAnsi="宋体" w:eastAsia="宋体"/>
          <w:b/>
          <w:sz w:val="24"/>
        </w:rPr>
        <w:t>（5）构念修正：从"短视词多寡"到"净时间视野"。</w:t>
      </w:r>
      <w:r>
        <w:rPr>
          <w:rFonts w:ascii="宋体" w:hAnsi="宋体" w:eastAsia="宋体"/>
          <w:b w:val="0"/>
          <w:sz w:val="24"/>
        </w:rPr>
        <w:t xml:space="preserve"> 判读还揭示了一个关键现象：样本中大量出现"短期承压、但长期向好"式对照句——这类句子恰恰说明管理层偏重长期，按"出现短视词即为短视"计分会系统性反向收割。同时，长期视域语的判读精确率高达 </w:t>
      </w:r>
      <w:r>
        <w:rPr>
          <w:rFonts w:ascii="宋体" w:hAnsi="宋体" w:eastAsia="宋体"/>
          <w:b/>
          <w:sz w:val="24"/>
        </w:rPr>
        <w:t>81.25%（32 条复核样本）</w:t>
      </w:r>
      <w:r>
        <w:rPr>
          <w:rFonts w:ascii="宋体" w:hAnsi="宋体" w:eastAsia="宋体"/>
          <w:b w:val="0"/>
          <w:sz w:val="24"/>
        </w:rPr>
        <w:t>，且命中充分（3 163 次）。据此本文把构念修正为：</w:t>
      </w:r>
    </w:p>
    <w:p>
      <w:pPr>
        <w:jc w:val="center"/>
      </w:pPr>
      <w:r>
        <w:rPr>
          <w:rFonts w:ascii="Cambria Math" w:hAnsi="Cambria Math" w:eastAsia="Cambria Math"/>
          <w:b w:val="0"/>
          <w:sz w:val="22"/>
        </w:rPr>
        <w:t>\text{Rate\_short}=\frac{C_{S}}{N}\times 100,\quad \text{Rate\_long}=\frac{C_{L}}{N}\times 100</w:t>
      </w:r>
    </w:p>
    <w:p>
      <w:pPr>
        <w:jc w:val="center"/>
      </w:pPr>
      <w:r>
        <w:rPr>
          <w:rFonts w:ascii="Cambria Math" w:hAnsi="Cambria Math" w:eastAsia="Cambria Math"/>
          <w:b w:val="0"/>
          <w:sz w:val="22"/>
        </w:rPr>
        <w:t>\text{NTH\_diff}=\text{Rate\_short}-\text{Rate\_long}</w:t>
      </w:r>
    </w:p>
    <w:p>
      <w:pPr>
        <w:spacing w:line="360" w:lineRule="auto" w:after="120"/>
        <w:ind w:firstLine="480"/>
      </w:pPr>
      <w:r>
        <w:rPr>
          <w:rFonts w:ascii="宋体" w:hAnsi="宋体" w:eastAsia="宋体"/>
          <w:b w:val="0"/>
          <w:sz w:val="24"/>
        </w:rPr>
        <w:t xml:space="preserve">其中 $C_S$、$C_L$ 分别为短期视域词典（37 词）与长期视域词典（29 词）的语境过滤后命中次数，$N$ 为有效词数。NTH 越大表示越偏短期。全样本中 </w:t>
      </w:r>
      <w:r>
        <w:rPr>
          <w:rFonts w:ascii="宋体" w:hAnsi="宋体" w:eastAsia="宋体"/>
          <w:b/>
          <w:sz w:val="24"/>
        </w:rPr>
        <w:t>91.6% 的文档 NTH 为负</w:t>
      </w:r>
      <w:r>
        <w:rPr>
          <w:rFonts w:ascii="宋体" w:hAnsi="宋体" w:eastAsia="宋体"/>
          <w:b w:val="0"/>
          <w:sz w:val="24"/>
        </w:rPr>
        <w:t>，即披露语言普遍偏长期（见图 3-3），这是由年报的法定披露属性决定的，不构成测度缺陷，但提示短视侧的变异可能有限。</w:t>
      </w:r>
    </w:p>
    <w:p>
      <w:pPr>
        <w:jc w:val="center"/>
      </w:pPr>
      <w:r>
        <w:drawing>
          <wp:inline xmlns:a="http://schemas.openxmlformats.org/drawingml/2006/main" xmlns:pic="http://schemas.openxmlformats.org/drawingml/2006/picture">
            <wp:extent cx="4860000" cy="2503636"/>
            <wp:docPr id="3" name="Picture 3"/>
            <wp:cNvGraphicFramePr>
              <a:graphicFrameLocks noChangeAspect="1"/>
            </wp:cNvGraphicFramePr>
            <a:graphic>
              <a:graphicData uri="http://schemas.openxmlformats.org/drawingml/2006/picture">
                <pic:pic>
                  <pic:nvPicPr>
                    <pic:cNvPr id="0" name="fig3-3_nth_dist.png"/>
                    <pic:cNvPicPr/>
                  </pic:nvPicPr>
                  <pic:blipFill>
                    <a:blip r:embed="rId11"/>
                    <a:stretch>
                      <a:fillRect/>
                    </a:stretch>
                  </pic:blipFill>
                  <pic:spPr>
                    <a:xfrm>
                      <a:off x="0" y="0"/>
                      <a:ext cx="4860000" cy="2503636"/>
                    </a:xfrm>
                    <a:prstGeom prst="rect"/>
                  </pic:spPr>
                </pic:pic>
              </a:graphicData>
            </a:graphic>
          </wp:inline>
        </w:drawing>
      </w:r>
    </w:p>
    <w:p>
      <w:pPr>
        <w:jc w:val="center"/>
      </w:pPr>
      <w:r>
        <w:rPr>
          <w:rFonts w:ascii="宋体" w:hAnsi="宋体" w:eastAsia="宋体"/>
          <w:b w:val="0"/>
          <w:sz w:val="21"/>
        </w:rPr>
        <w:t>图3-3 净时间视野的分布</w:t>
      </w:r>
    </w:p>
    <w:p>
      <w:pPr>
        <w:spacing w:before="200"/>
      </w:pPr>
      <w:r>
        <w:rPr>
          <w:rFonts w:ascii="黑体" w:hAnsi="黑体" w:eastAsia="黑体"/>
          <w:b/>
          <w:sz w:val="28"/>
        </w:rPr>
        <w:t>3.4 第三步：特征提取之路线二——词嵌入</w:t>
      </w:r>
    </w:p>
    <w:p>
      <w:pPr>
        <w:spacing w:line="360" w:lineRule="auto" w:after="120"/>
        <w:ind w:firstLine="480"/>
      </w:pPr>
      <w:r>
        <w:rPr>
          <w:rFonts w:ascii="宋体" w:hAnsi="宋体" w:eastAsia="宋体"/>
          <w:b w:val="0"/>
          <w:sz w:val="24"/>
        </w:rPr>
        <w:t>在本地语料上训练 Skip-gram 模型（维度 120、窗口 6、最小词频 4），得到 22 843 词的向量空间，并以 TF-IDF 加权计算文档与短视／长期锚集合的相似度。</w:t>
      </w:r>
    </w:p>
    <w:p>
      <w:pPr>
        <w:spacing w:line="360" w:lineRule="auto" w:after="120"/>
        <w:ind w:firstLine="480"/>
      </w:pPr>
      <w:r>
        <w:rPr>
          <w:rFonts w:ascii="宋体" w:hAnsi="宋体" w:eastAsia="宋体"/>
          <w:b/>
          <w:sz w:val="24"/>
        </w:rPr>
        <w:t>该路线同样未能通过可解释性检验。</w:t>
      </w:r>
      <w:r>
        <w:rPr>
          <w:rFonts w:ascii="宋体" w:hAnsi="宋体" w:eastAsia="宋体"/>
          <w:b w:val="0"/>
          <w:sz w:val="24"/>
        </w:rPr>
        <w:t xml:space="preserve"> 12 个短视种子词中仅 7 个达到最小词频，"立刻""马上""权宜"等被过滤；更重要的是，与短视种子最相似的词依次是"演习""报卷""借用""时限""技措"等无语义关联的碎片词。这说明 </w:t>
      </w:r>
      <w:r>
        <w:rPr>
          <w:rFonts w:ascii="宋体" w:hAnsi="宋体" w:eastAsia="宋体"/>
          <w:b/>
          <w:sz w:val="24"/>
        </w:rPr>
        <w:t>477 篇文档、约 240 万词的语料规模不足以训练可靠的静态词向量</w:t>
      </w:r>
      <w:r>
        <w:rPr>
          <w:rFonts w:ascii="宋体" w:hAnsi="宋体" w:eastAsia="宋体"/>
          <w:b w:val="0"/>
          <w:sz w:val="24"/>
        </w:rPr>
        <w:t>。此为本地小样本场景下词嵌入路线的固有局限，本文如实报告，并将其测度仅作为</w:t>
      </w:r>
      <w:r>
        <w:rPr>
          <w:rFonts w:ascii="宋体" w:hAnsi="宋体" w:eastAsia="宋体"/>
          <w:b/>
          <w:sz w:val="24"/>
        </w:rPr>
        <w:t>平行校验</w:t>
      </w:r>
      <w:r>
        <w:rPr>
          <w:rFonts w:ascii="宋体" w:hAnsi="宋体" w:eastAsia="宋体"/>
          <w:b w:val="0"/>
          <w:sz w:val="24"/>
        </w:rPr>
        <w:t>而非主测度使用。</w:t>
      </w:r>
    </w:p>
    <w:p>
      <w:pPr>
        <w:spacing w:before="200"/>
      </w:pPr>
      <w:r>
        <w:rPr>
          <w:rFonts w:ascii="黑体" w:hAnsi="黑体" w:eastAsia="黑体"/>
          <w:b/>
          <w:sz w:val="28"/>
        </w:rPr>
        <w:t>3.5 第三步：特征提取之路线三——LDA 主题模型</w:t>
      </w:r>
    </w:p>
    <w:p>
      <w:pPr>
        <w:spacing w:line="360" w:lineRule="auto" w:after="120"/>
        <w:ind w:firstLine="480"/>
      </w:pPr>
      <w:r>
        <w:rPr>
          <w:rFonts w:ascii="宋体" w:hAnsi="宋体" w:eastAsia="宋体"/>
          <w:b w:val="0"/>
          <w:sz w:val="24"/>
        </w:rPr>
        <w:t>按课件推荐的"路径 B"实施：先让模型归纳主题，再用主题定词，最终测度仍回到可复现的词典计数。</w:t>
      </w:r>
    </w:p>
    <w:p>
      <w:pPr>
        <w:spacing w:line="360" w:lineRule="auto" w:after="120"/>
        <w:ind w:firstLine="480"/>
      </w:pPr>
      <w:r>
        <w:rPr>
          <w:rFonts w:ascii="宋体" w:hAnsi="宋体" w:eastAsia="宋体"/>
          <w:b w:val="0"/>
          <w:sz w:val="24"/>
        </w:rPr>
        <w:t>主题数按困惑度与连贯性双重判据选择：</w:t>
      </w:r>
    </w:p>
    <w:tbl>
      <w:tblPr>
        <w:tblStyle w:val="TableGrid"/>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jc w:val="center"/>
            </w:pPr>
            <w:r/>
            <w:r>
              <w:rPr>
                <w:rFonts w:ascii="宋体" w:hAnsi="宋体" w:eastAsia="宋体"/>
                <w:b/>
                <w:sz w:val="19"/>
              </w:rPr>
              <w:t>K</w:t>
            </w:r>
          </w:p>
        </w:tc>
        <w:tc>
          <w:tcPr>
            <w:tcW w:type="dxa" w:w="1105"/>
          </w:tcPr>
          <w:p>
            <w:pPr>
              <w:jc w:val="center"/>
            </w:pPr>
            <w:r/>
            <w:r>
              <w:rPr>
                <w:rFonts w:ascii="宋体" w:hAnsi="宋体" w:eastAsia="宋体"/>
                <w:b/>
                <w:sz w:val="19"/>
              </w:rPr>
              <w:t>5</w:t>
            </w:r>
          </w:p>
        </w:tc>
        <w:tc>
          <w:tcPr>
            <w:tcW w:type="dxa" w:w="1105"/>
          </w:tcPr>
          <w:p>
            <w:pPr>
              <w:jc w:val="center"/>
            </w:pPr>
            <w:r/>
            <w:r>
              <w:rPr>
                <w:rFonts w:ascii="宋体" w:hAnsi="宋体" w:eastAsia="宋体"/>
                <w:b/>
                <w:sz w:val="19"/>
              </w:rPr>
              <w:t>8</w:t>
            </w:r>
          </w:p>
        </w:tc>
        <w:tc>
          <w:tcPr>
            <w:tcW w:type="dxa" w:w="1105"/>
          </w:tcPr>
          <w:p>
            <w:pPr>
              <w:jc w:val="center"/>
            </w:pPr>
            <w:r/>
            <w:r>
              <w:rPr>
                <w:rFonts w:ascii="宋体" w:hAnsi="宋体" w:eastAsia="宋体"/>
                <w:b/>
                <w:sz w:val="19"/>
              </w:rPr>
              <w:t>10</w:t>
            </w:r>
          </w:p>
        </w:tc>
        <w:tc>
          <w:tcPr>
            <w:tcW w:type="dxa" w:w="1105"/>
          </w:tcPr>
          <w:p>
            <w:pPr>
              <w:jc w:val="center"/>
            </w:pPr>
            <w:r/>
            <w:r>
              <w:rPr>
                <w:rFonts w:ascii="宋体" w:hAnsi="宋体" w:eastAsia="宋体"/>
                <w:b/>
                <w:sz w:val="19"/>
              </w:rPr>
              <w:t>12</w:t>
            </w:r>
          </w:p>
        </w:tc>
        <w:tc>
          <w:tcPr>
            <w:tcW w:type="dxa" w:w="1105"/>
          </w:tcPr>
          <w:p>
            <w:pPr>
              <w:jc w:val="center"/>
            </w:pPr>
            <w:r/>
            <w:r>
              <w:rPr>
                <w:rFonts w:ascii="宋体" w:hAnsi="宋体" w:eastAsia="宋体"/>
                <w:b/>
                <w:sz w:val="19"/>
              </w:rPr>
              <w:t>15</w:t>
            </w:r>
          </w:p>
        </w:tc>
        <w:tc>
          <w:tcPr>
            <w:tcW w:type="dxa" w:w="1105"/>
          </w:tcPr>
          <w:p>
            <w:pPr>
              <w:jc w:val="center"/>
            </w:pPr>
            <w:r/>
            <w:r>
              <w:rPr>
                <w:rFonts w:ascii="宋体" w:hAnsi="宋体" w:eastAsia="宋体"/>
                <w:b/>
                <w:sz w:val="19"/>
              </w:rPr>
              <w:t>18</w:t>
            </w:r>
          </w:p>
        </w:tc>
        <w:tc>
          <w:tcPr>
            <w:tcW w:type="dxa" w:w="1105"/>
          </w:tcPr>
          <w:p>
            <w:pPr>
              <w:jc w:val="center"/>
            </w:pPr>
            <w:r/>
            <w:r>
              <w:rPr>
                <w:rFonts w:ascii="宋体" w:hAnsi="宋体" w:eastAsia="宋体"/>
                <w:b/>
                <w:sz w:val="19"/>
              </w:rPr>
              <w:t>20</w:t>
            </w:r>
          </w:p>
        </w:tc>
      </w:tr>
      <w:tr>
        <w:tc>
          <w:tcPr>
            <w:tcW w:type="dxa" w:w="1105"/>
          </w:tcPr>
          <w:p>
            <w:pPr>
              <w:jc w:val="center"/>
            </w:pPr>
            <w:r/>
            <w:r>
              <w:rPr>
                <w:rFonts w:ascii="宋体" w:hAnsi="宋体" w:eastAsia="宋体"/>
                <w:b w:val="0"/>
                <w:sz w:val="19"/>
              </w:rPr>
              <w:t>perplexity</w:t>
            </w:r>
          </w:p>
        </w:tc>
        <w:tc>
          <w:tcPr>
            <w:tcW w:type="dxa" w:w="1105"/>
          </w:tcPr>
          <w:p>
            <w:pPr>
              <w:jc w:val="center"/>
            </w:pPr>
            <w:r/>
            <w:r>
              <w:rPr>
                <w:rFonts w:ascii="宋体" w:hAnsi="宋体" w:eastAsia="宋体"/>
                <w:b w:val="0"/>
                <w:sz w:val="19"/>
              </w:rPr>
              <w:t>−8.55</w:t>
            </w:r>
          </w:p>
        </w:tc>
        <w:tc>
          <w:tcPr>
            <w:tcW w:type="dxa" w:w="1105"/>
          </w:tcPr>
          <w:p>
            <w:pPr>
              <w:jc w:val="center"/>
            </w:pPr>
            <w:r/>
            <w:r>
              <w:rPr>
                <w:rFonts w:ascii="宋体" w:hAnsi="宋体" w:eastAsia="宋体"/>
                <w:b w:val="0"/>
                <w:sz w:val="19"/>
              </w:rPr>
              <w:t>−8.54</w:t>
            </w:r>
          </w:p>
        </w:tc>
        <w:tc>
          <w:tcPr>
            <w:tcW w:type="dxa" w:w="1105"/>
          </w:tcPr>
          <w:p>
            <w:pPr>
              <w:jc w:val="center"/>
            </w:pPr>
            <w:r/>
            <w:r>
              <w:rPr>
                <w:rFonts w:ascii="宋体" w:hAnsi="宋体" w:eastAsia="宋体"/>
                <w:b w:val="0"/>
                <w:sz w:val="19"/>
              </w:rPr>
              <w:t>−8.92</w:t>
            </w:r>
          </w:p>
        </w:tc>
        <w:tc>
          <w:tcPr>
            <w:tcW w:type="dxa" w:w="1105"/>
          </w:tcPr>
          <w:p>
            <w:pPr>
              <w:jc w:val="center"/>
            </w:pPr>
            <w:r/>
            <w:r>
              <w:rPr>
                <w:rFonts w:ascii="宋体" w:hAnsi="宋体" w:eastAsia="宋体"/>
                <w:b w:val="0"/>
                <w:sz w:val="19"/>
              </w:rPr>
              <w:t>−9.76</w:t>
            </w:r>
          </w:p>
        </w:tc>
        <w:tc>
          <w:tcPr>
            <w:tcW w:type="dxa" w:w="1105"/>
          </w:tcPr>
          <w:p>
            <w:pPr>
              <w:jc w:val="center"/>
            </w:pPr>
            <w:r/>
            <w:r>
              <w:rPr>
                <w:rFonts w:ascii="宋体" w:hAnsi="宋体" w:eastAsia="宋体"/>
                <w:b w:val="0"/>
                <w:sz w:val="19"/>
              </w:rPr>
              <w:t>−11.35</w:t>
            </w:r>
          </w:p>
        </w:tc>
        <w:tc>
          <w:tcPr>
            <w:tcW w:type="dxa" w:w="1105"/>
          </w:tcPr>
          <w:p>
            <w:pPr>
              <w:jc w:val="center"/>
            </w:pPr>
            <w:r/>
            <w:r>
              <w:rPr>
                <w:rFonts w:ascii="宋体" w:hAnsi="宋体" w:eastAsia="宋体"/>
                <w:b w:val="0"/>
                <w:sz w:val="19"/>
              </w:rPr>
              <w:t>−12.24</w:t>
            </w:r>
          </w:p>
        </w:tc>
        <w:tc>
          <w:tcPr>
            <w:tcW w:type="dxa" w:w="1105"/>
          </w:tcPr>
          <w:p>
            <w:pPr>
              <w:jc w:val="center"/>
            </w:pPr>
            <w:r/>
            <w:r>
              <w:rPr>
                <w:rFonts w:ascii="宋体" w:hAnsi="宋体" w:eastAsia="宋体"/>
                <w:b w:val="0"/>
                <w:sz w:val="19"/>
              </w:rPr>
              <w:t>−12.60</w:t>
            </w:r>
          </w:p>
        </w:tc>
      </w:tr>
      <w:tr>
        <w:tc>
          <w:tcPr>
            <w:tcW w:type="dxa" w:w="1105"/>
          </w:tcPr>
          <w:p>
            <w:pPr>
              <w:jc w:val="center"/>
            </w:pPr>
            <w:r/>
            <w:r>
              <w:rPr>
                <w:rFonts w:ascii="宋体" w:hAnsi="宋体" w:eastAsia="宋体"/>
                <w:b w:val="0"/>
                <w:sz w:val="19"/>
              </w:rPr>
              <w:t>$c\_v$</w:t>
            </w:r>
          </w:p>
        </w:tc>
        <w:tc>
          <w:tcPr>
            <w:tcW w:type="dxa" w:w="1105"/>
          </w:tcPr>
          <w:p>
            <w:pPr>
              <w:jc w:val="center"/>
            </w:pPr>
            <w:r/>
            <w:r>
              <w:rPr>
                <w:rFonts w:ascii="宋体" w:hAnsi="宋体" w:eastAsia="宋体"/>
                <w:b w:val="0"/>
                <w:sz w:val="19"/>
              </w:rPr>
              <w:t>0.459</w:t>
            </w:r>
          </w:p>
        </w:tc>
        <w:tc>
          <w:tcPr>
            <w:tcW w:type="dxa" w:w="1105"/>
          </w:tcPr>
          <w:p>
            <w:pPr>
              <w:jc w:val="center"/>
            </w:pPr>
            <w:r/>
            <w:r>
              <w:rPr>
                <w:rFonts w:ascii="宋体" w:hAnsi="宋体" w:eastAsia="宋体"/>
                <w:b w:val="0"/>
                <w:sz w:val="19"/>
              </w:rPr>
              <w:t>0.510</w:t>
            </w:r>
          </w:p>
        </w:tc>
        <w:tc>
          <w:tcPr>
            <w:tcW w:type="dxa" w:w="1105"/>
          </w:tcPr>
          <w:p>
            <w:pPr>
              <w:jc w:val="center"/>
            </w:pPr>
            <w:r/>
            <w:r>
              <w:rPr>
                <w:rFonts w:ascii="宋体" w:hAnsi="宋体" w:eastAsia="宋体"/>
                <w:b w:val="0"/>
                <w:sz w:val="19"/>
              </w:rPr>
              <w:t>0.510</w:t>
            </w:r>
          </w:p>
        </w:tc>
        <w:tc>
          <w:tcPr>
            <w:tcW w:type="dxa" w:w="1105"/>
          </w:tcPr>
          <w:p>
            <w:pPr>
              <w:jc w:val="center"/>
            </w:pPr>
            <w:r/>
            <w:r>
              <w:rPr>
                <w:rFonts w:ascii="宋体" w:hAnsi="宋体" w:eastAsia="宋体"/>
                <w:b w:val="0"/>
                <w:sz w:val="19"/>
              </w:rPr>
              <w:t>0.540</w:t>
            </w:r>
          </w:p>
        </w:tc>
        <w:tc>
          <w:tcPr>
            <w:tcW w:type="dxa" w:w="1105"/>
          </w:tcPr>
          <w:p>
            <w:pPr>
              <w:jc w:val="center"/>
            </w:pPr>
            <w:r/>
            <w:r>
              <w:rPr>
                <w:rFonts w:ascii="宋体" w:hAnsi="宋体" w:eastAsia="宋体"/>
                <w:b w:val="0"/>
                <w:sz w:val="19"/>
              </w:rPr>
              <w:t>0.581</w:t>
            </w:r>
          </w:p>
        </w:tc>
        <w:tc>
          <w:tcPr>
            <w:tcW w:type="dxa" w:w="1105"/>
          </w:tcPr>
          <w:p>
            <w:pPr>
              <w:jc w:val="center"/>
            </w:pPr>
            <w:r/>
            <w:r>
              <w:rPr>
                <w:rFonts w:ascii="宋体" w:hAnsi="宋体" w:eastAsia="宋体"/>
                <w:b w:val="0"/>
                <w:sz w:val="19"/>
              </w:rPr>
              <w:t>0.538</w:t>
            </w:r>
          </w:p>
        </w:tc>
        <w:tc>
          <w:tcPr>
            <w:tcW w:type="dxa" w:w="1105"/>
          </w:tcPr>
          <w:p>
            <w:pPr>
              <w:jc w:val="center"/>
            </w:pPr>
            <w:r/>
            <w:r>
              <w:rPr>
                <w:rFonts w:ascii="宋体" w:hAnsi="宋体" w:eastAsia="宋体"/>
                <w:b w:val="0"/>
                <w:sz w:val="19"/>
              </w:rPr>
              <w:t>0.554</w:t>
            </w:r>
          </w:p>
        </w:tc>
      </w:tr>
    </w:tbl>
    <w:p/>
    <w:p>
      <w:pPr>
        <w:spacing w:line="360" w:lineRule="auto" w:after="120"/>
        <w:ind w:firstLine="480"/>
      </w:pPr>
      <w:r>
        <w:rPr>
          <w:rFonts w:ascii="宋体" w:hAnsi="宋体" w:eastAsia="宋体"/>
          <w:b w:val="0"/>
          <w:sz w:val="24"/>
        </w:rPr>
        <w:t xml:space="preserve">取 $c\_v$ 最高的 </w:t>
      </w:r>
      <w:r>
        <w:rPr>
          <w:rFonts w:ascii="宋体" w:hAnsi="宋体" w:eastAsia="宋体"/>
          <w:b/>
          <w:sz w:val="24"/>
        </w:rPr>
        <w:t>K = 15</w:t>
      </w:r>
      <w:r>
        <w:rPr>
          <w:rFonts w:ascii="宋体" w:hAnsi="宋体" w:eastAsia="宋体"/>
          <w:b w:val="0"/>
          <w:sz w:val="24"/>
        </w:rPr>
        <w:t>（见图 3-2）。</w:t>
      </w:r>
    </w:p>
    <w:p>
      <w:pPr>
        <w:jc w:val="center"/>
      </w:pPr>
      <w:r>
        <w:drawing>
          <wp:inline xmlns:a="http://schemas.openxmlformats.org/drawingml/2006/main" xmlns:pic="http://schemas.openxmlformats.org/drawingml/2006/picture">
            <wp:extent cx="4860000" cy="2638286"/>
            <wp:docPr id="4" name="Picture 4"/>
            <wp:cNvGraphicFramePr>
              <a:graphicFrameLocks noChangeAspect="1"/>
            </wp:cNvGraphicFramePr>
            <a:graphic>
              <a:graphicData uri="http://schemas.openxmlformats.org/drawingml/2006/picture">
                <pic:pic>
                  <pic:nvPicPr>
                    <pic:cNvPr id="0" name="fig3-2_lda_model_selection.png"/>
                    <pic:cNvPicPr/>
                  </pic:nvPicPr>
                  <pic:blipFill>
                    <a:blip r:embed="rId12"/>
                    <a:stretch>
                      <a:fillRect/>
                    </a:stretch>
                  </pic:blipFill>
                  <pic:spPr>
                    <a:xfrm>
                      <a:off x="0" y="0"/>
                      <a:ext cx="4860000" cy="2638286"/>
                    </a:xfrm>
                    <a:prstGeom prst="rect"/>
                  </pic:spPr>
                </pic:pic>
              </a:graphicData>
            </a:graphic>
          </wp:inline>
        </w:drawing>
      </w:r>
    </w:p>
    <w:p>
      <w:pPr>
        <w:jc w:val="center"/>
      </w:pPr>
      <w:r>
        <w:rPr>
          <w:rFonts w:ascii="宋体" w:hAnsi="宋体" w:eastAsia="宋体"/>
          <w:b w:val="0"/>
          <w:sz w:val="21"/>
        </w:rPr>
        <w:t>图3-2 LDA 主题数选择</w:t>
      </w:r>
    </w:p>
    <w:p>
      <w:pPr>
        <w:spacing w:line="360" w:lineRule="auto" w:after="120"/>
        <w:ind w:firstLine="480"/>
      </w:pPr>
      <w:r>
        <w:rPr>
          <w:rFonts w:ascii="宋体" w:hAnsi="宋体" w:eastAsia="宋体"/>
          <w:b w:val="0"/>
          <w:sz w:val="24"/>
        </w:rPr>
        <w:t>然而，</w:t>
      </w:r>
      <w:r>
        <w:rPr>
          <w:rFonts w:ascii="宋体" w:hAnsi="宋体" w:eastAsia="宋体"/>
          <w:b/>
          <w:sz w:val="24"/>
        </w:rPr>
        <w:t>15 个主题中没有一个的 Top-25 词与短视种子词发生任何重合</w:t>
      </w:r>
      <w:r>
        <w:rPr>
          <w:rFonts w:ascii="宋体" w:hAnsi="宋体" w:eastAsia="宋体"/>
          <w:b w:val="0"/>
          <w:sz w:val="24"/>
        </w:rPr>
        <w:t xml:space="preserve">（重合度全为 0）。原因是短视语在语料中过于稀疏（约 0.014%），不足以独立成题；被算法认定的"目标主题"实际是半导体装备制造（"硅片""刻蚀""产线"等），与管理层视野无关。因此 </w:t>
      </w:r>
      <w:r>
        <w:rPr>
          <w:rFonts w:ascii="宋体" w:hAnsi="宋体" w:eastAsia="宋体"/>
          <w:b/>
          <w:sz w:val="24"/>
        </w:rPr>
        <w:t>LDA 路线无法提供短视测度</w:t>
      </w:r>
      <w:r>
        <w:rPr>
          <w:rFonts w:ascii="宋体" w:hAnsi="宋体" w:eastAsia="宋体"/>
          <w:b w:val="0"/>
          <w:sz w:val="24"/>
        </w:rPr>
        <w:t>，本文转而把 15 个主题比例用于控制，检验主测度能否被"披露主题构成"所解释。</w:t>
      </w:r>
    </w:p>
    <w:p>
      <w:pPr>
        <w:spacing w:before="200"/>
      </w:pPr>
      <w:r>
        <w:rPr>
          <w:rFonts w:ascii="黑体" w:hAnsi="黑体" w:eastAsia="黑体"/>
          <w:b/>
          <w:sz w:val="28"/>
        </w:rPr>
        <w:t>3.6 指标构建中的三个关键决策</w:t>
      </w:r>
    </w:p>
    <w:p>
      <w:pPr>
        <w:spacing w:line="360" w:lineRule="auto" w:after="120"/>
        <w:ind w:firstLine="480"/>
      </w:pPr>
      <w:r>
        <w:rPr>
          <w:rFonts w:ascii="宋体" w:hAnsi="宋体" w:eastAsia="宋体"/>
          <w:b w:val="0"/>
          <w:sz w:val="24"/>
        </w:rPr>
        <w:t>在把文本向量变成研究变量之前，必须先回答三个问题，这三个决策直接决定测度能否通过后续检验。</w:t>
      </w:r>
    </w:p>
    <w:p>
      <w:pPr>
        <w:spacing w:line="360" w:lineRule="auto" w:after="120"/>
        <w:ind w:firstLine="480"/>
      </w:pPr>
      <w:r>
        <w:rPr>
          <w:rFonts w:ascii="宋体" w:hAnsi="宋体" w:eastAsia="宋体"/>
          <w:b/>
          <w:sz w:val="24"/>
        </w:rPr>
        <w:t>决策一：分母怎么取。</w:t>
      </w:r>
      <w:r>
        <w:rPr>
          <w:rFonts w:ascii="宋体" w:hAnsi="宋体" w:eastAsia="宋体"/>
          <w:b w:val="0"/>
          <w:sz w:val="24"/>
        </w:rPr>
        <w:t xml:space="preserve"> 候选口径有总词数、总句数、总字数、段落数四种。本文选择"</w:t>
      </w:r>
      <w:r>
        <w:rPr>
          <w:rFonts w:ascii="宋体" w:hAnsi="宋体" w:eastAsia="宋体"/>
          <w:b/>
          <w:sz w:val="24"/>
        </w:rPr>
        <w:t>去停用词后的有效词数</w:t>
      </w:r>
      <w:r>
        <w:rPr>
          <w:rFonts w:ascii="宋体" w:hAnsi="宋体" w:eastAsia="宋体"/>
          <w:b w:val="0"/>
          <w:sz w:val="24"/>
        </w:rPr>
        <w:t>"作为主口径，理由是停用词在各文档中的占比并不恒定，保留它们会引入与内容无关的篇幅噪声；同时平行计算"全部词数"口径用于稳健性检验（两者相关 0.9995，说明算术稳健）。</w:t>
      </w:r>
      <w:r>
        <w:rPr>
          <w:rFonts w:ascii="宋体" w:hAnsi="宋体" w:eastAsia="宋体"/>
          <w:b/>
          <w:sz w:val="24"/>
        </w:rPr>
        <w:t>决策二：要不要加权。</w:t>
      </w:r>
      <w:r>
        <w:rPr>
          <w:rFonts w:ascii="宋体" w:hAnsi="宋体" w:eastAsia="宋体"/>
          <w:b w:val="0"/>
          <w:sz w:val="24"/>
        </w:rPr>
        <w:t xml:space="preserve"> 本文主测度采用等权计数，因为加权的先验依据不足；在词嵌入路线中则使用 TF-IDF 加权，以突出区分度高的词。</w:t>
      </w:r>
      <w:r>
        <w:rPr>
          <w:rFonts w:ascii="宋体" w:hAnsi="宋体" w:eastAsia="宋体"/>
          <w:b/>
          <w:sz w:val="24"/>
        </w:rPr>
        <w:t>决策三：如何命名。</w:t>
      </w:r>
      <w:r>
        <w:rPr>
          <w:rFonts w:ascii="宋体" w:hAnsi="宋体" w:eastAsia="宋体"/>
          <w:b w:val="0"/>
          <w:sz w:val="24"/>
        </w:rPr>
        <w:t xml:space="preserve"> 变量名必须同时体现构念与计算方式，本文采用 `NTH_diff`（Net Time Horizon，差值式），并保留 `NTH_ratio`、`NTH_log` 两种替代形式以便读者核对。</w:t>
      </w:r>
    </w:p>
    <w:p>
      <w:pPr>
        <w:spacing w:line="360" w:lineRule="auto" w:after="120"/>
        <w:ind w:firstLine="480"/>
      </w:pPr>
      <w:r>
        <w:rPr>
          <w:rFonts w:ascii="宋体" w:hAnsi="宋体" w:eastAsia="宋体"/>
          <w:b/>
          <w:sz w:val="24"/>
        </w:rPr>
        <w:t>决策四（本例新增）：需不需要"对立面"。</w:t>
      </w:r>
      <w:r>
        <w:rPr>
          <w:rFonts w:ascii="宋体" w:hAnsi="宋体" w:eastAsia="宋体"/>
          <w:b w:val="0"/>
          <w:sz w:val="24"/>
        </w:rPr>
        <w:t xml:space="preserve"> 这是本文在实证过程中被迫补上的一步。原设计只有短视侧词典，判读后发现短视语在本土语料中既稀疏又高噪；引入长期视域词典构造"净倾向"后，测度同时获得了理论含义（时间视野本就是一个相对的构念）与统计性质（不再受篇幅驱动，与 LnLen 的相关仅 −0.20）。</w:t>
      </w:r>
    </w:p>
    <w:p>
      <w:pPr>
        <w:spacing w:before="200"/>
      </w:pPr>
      <w:r>
        <w:rPr>
          <w:rFonts w:ascii="黑体" w:hAnsi="黑体" w:eastAsia="黑体"/>
          <w:b/>
          <w:sz w:val="28"/>
        </w:rPr>
        <w:t>3.7 第四步：指标构建与样本筛选</w:t>
      </w:r>
    </w:p>
    <w:p>
      <w:pPr>
        <w:spacing w:line="360" w:lineRule="auto" w:after="120"/>
        <w:ind w:firstLine="480"/>
      </w:pPr>
      <w:r>
        <w:rPr>
          <w:rFonts w:ascii="宋体" w:hAnsi="宋体" w:eastAsia="宋体"/>
          <w:b/>
          <w:sz w:val="24"/>
        </w:rPr>
        <w:t>（1）三路测度与财务数据合并</w:t>
      </w:r>
      <w:r>
        <w:rPr>
          <w:rFonts w:ascii="宋体" w:hAnsi="宋体" w:eastAsia="宋体"/>
          <w:b w:val="0"/>
          <w:sz w:val="24"/>
        </w:rPr>
        <w:t>，样本筛选过程如下：</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宋体" w:hAnsi="宋体" w:eastAsia="宋体"/>
                <w:b/>
                <w:sz w:val="19"/>
              </w:rPr>
              <w:t>步骤</w:t>
            </w:r>
          </w:p>
        </w:tc>
        <w:tc>
          <w:tcPr>
            <w:tcW w:type="dxa" w:w="2946"/>
          </w:tcPr>
          <w:p>
            <w:pPr>
              <w:jc w:val="center"/>
            </w:pPr>
            <w:r/>
            <w:r>
              <w:rPr>
                <w:rFonts w:ascii="宋体" w:hAnsi="宋体" w:eastAsia="宋体"/>
                <w:b/>
                <w:sz w:val="19"/>
              </w:rPr>
              <w:t>处理内容</w:t>
            </w:r>
          </w:p>
        </w:tc>
        <w:tc>
          <w:tcPr>
            <w:tcW w:type="dxa" w:w="2946"/>
          </w:tcPr>
          <w:p>
            <w:pPr>
              <w:jc w:val="center"/>
            </w:pPr>
            <w:r/>
            <w:r>
              <w:rPr>
                <w:rFonts w:ascii="宋体" w:hAnsi="宋体" w:eastAsia="宋体"/>
                <w:b/>
                <w:sz w:val="19"/>
              </w:rPr>
              <w:t>剩余观测</w:t>
            </w:r>
          </w:p>
        </w:tc>
      </w:tr>
      <w:tr>
        <w:tc>
          <w:tcPr>
            <w:tcW w:type="dxa" w:w="2946"/>
          </w:tcPr>
          <w:p>
            <w:pPr>
              <w:jc w:val="center"/>
            </w:pPr>
            <w:r/>
            <w:r>
              <w:rPr>
                <w:rFonts w:ascii="宋体" w:hAnsi="宋体" w:eastAsia="宋体"/>
                <w:b w:val="0"/>
                <w:sz w:val="19"/>
              </w:rPr>
              <w:t>0</w:t>
            </w:r>
          </w:p>
        </w:tc>
        <w:tc>
          <w:tcPr>
            <w:tcW w:type="dxa" w:w="2946"/>
          </w:tcPr>
          <w:p>
            <w:pPr>
              <w:jc w:val="center"/>
            </w:pPr>
            <w:r/>
            <w:r>
              <w:rPr>
                <w:rFonts w:ascii="宋体" w:hAnsi="宋体" w:eastAsia="宋体"/>
                <w:b w:val="0"/>
                <w:sz w:val="19"/>
              </w:rPr>
              <w:t>初始企业—年份财务观测</w:t>
            </w:r>
          </w:p>
        </w:tc>
        <w:tc>
          <w:tcPr>
            <w:tcW w:type="dxa" w:w="2946"/>
          </w:tcPr>
          <w:p>
            <w:pPr>
              <w:jc w:val="center"/>
            </w:pPr>
            <w:r/>
            <w:r>
              <w:rPr>
                <w:rFonts w:ascii="宋体" w:hAnsi="宋体" w:eastAsia="宋体"/>
                <w:b w:val="0"/>
                <w:sz w:val="19"/>
              </w:rPr>
              <w:t>555</w:t>
            </w:r>
          </w:p>
        </w:tc>
      </w:tr>
      <w:tr>
        <w:tc>
          <w:tcPr>
            <w:tcW w:type="dxa" w:w="2946"/>
          </w:tcPr>
          <w:p>
            <w:pPr>
              <w:jc w:val="center"/>
            </w:pPr>
            <w:r/>
            <w:r>
              <w:rPr>
                <w:rFonts w:ascii="宋体" w:hAnsi="宋体" w:eastAsia="宋体"/>
                <w:b w:val="0"/>
                <w:sz w:val="19"/>
              </w:rPr>
              <w:t>1</w:t>
            </w:r>
          </w:p>
        </w:tc>
        <w:tc>
          <w:tcPr>
            <w:tcW w:type="dxa" w:w="2946"/>
          </w:tcPr>
          <w:p>
            <w:pPr>
              <w:jc w:val="center"/>
            </w:pPr>
            <w:r/>
            <w:r>
              <w:rPr>
                <w:rFonts w:ascii="宋体" w:hAnsi="宋体" w:eastAsia="宋体"/>
                <w:b w:val="0"/>
                <w:sz w:val="19"/>
              </w:rPr>
              <w:t>剔除金融保险业</w:t>
            </w:r>
          </w:p>
        </w:tc>
        <w:tc>
          <w:tcPr>
            <w:tcW w:type="dxa" w:w="2946"/>
          </w:tcPr>
          <w:p>
            <w:pPr>
              <w:jc w:val="center"/>
            </w:pPr>
            <w:r/>
            <w:r>
              <w:rPr>
                <w:rFonts w:ascii="宋体" w:hAnsi="宋体" w:eastAsia="宋体"/>
                <w:b w:val="0"/>
                <w:sz w:val="19"/>
              </w:rPr>
              <w:t>555</w:t>
            </w:r>
          </w:p>
        </w:tc>
      </w:tr>
      <w:tr>
        <w:tc>
          <w:tcPr>
            <w:tcW w:type="dxa" w:w="2946"/>
          </w:tcPr>
          <w:p>
            <w:pPr>
              <w:jc w:val="center"/>
            </w:pPr>
            <w:r/>
            <w:r>
              <w:rPr>
                <w:rFonts w:ascii="宋体" w:hAnsi="宋体" w:eastAsia="宋体"/>
                <w:b w:val="0"/>
                <w:sz w:val="19"/>
              </w:rPr>
              <w:t>2</w:t>
            </w:r>
          </w:p>
        </w:tc>
        <w:tc>
          <w:tcPr>
            <w:tcW w:type="dxa" w:w="2946"/>
          </w:tcPr>
          <w:p>
            <w:pPr>
              <w:jc w:val="center"/>
            </w:pPr>
            <w:r/>
            <w:r>
              <w:rPr>
                <w:rFonts w:ascii="宋体" w:hAnsi="宋体" w:eastAsia="宋体"/>
                <w:b w:val="0"/>
                <w:sz w:val="19"/>
              </w:rPr>
              <w:t>剔除 ST / *ST 公司</w:t>
            </w:r>
          </w:p>
        </w:tc>
        <w:tc>
          <w:tcPr>
            <w:tcW w:type="dxa" w:w="2946"/>
          </w:tcPr>
          <w:p>
            <w:pPr>
              <w:jc w:val="center"/>
            </w:pPr>
            <w:r/>
            <w:r>
              <w:rPr>
                <w:rFonts w:ascii="宋体" w:hAnsi="宋体" w:eastAsia="宋体"/>
                <w:b w:val="0"/>
                <w:sz w:val="19"/>
              </w:rPr>
              <w:t>516</w:t>
            </w:r>
          </w:p>
        </w:tc>
      </w:tr>
      <w:tr>
        <w:tc>
          <w:tcPr>
            <w:tcW w:type="dxa" w:w="2946"/>
          </w:tcPr>
          <w:p>
            <w:pPr>
              <w:jc w:val="center"/>
            </w:pPr>
            <w:r/>
            <w:r>
              <w:rPr>
                <w:rFonts w:ascii="宋体" w:hAnsi="宋体" w:eastAsia="宋体"/>
                <w:b w:val="0"/>
                <w:sz w:val="19"/>
              </w:rPr>
              <w:t>3</w:t>
            </w:r>
          </w:p>
        </w:tc>
        <w:tc>
          <w:tcPr>
            <w:tcW w:type="dxa" w:w="2946"/>
          </w:tcPr>
          <w:p>
            <w:pPr>
              <w:jc w:val="center"/>
            </w:pPr>
            <w:r/>
            <w:r>
              <w:rPr>
                <w:rFonts w:ascii="宋体" w:hAnsi="宋体" w:eastAsia="宋体"/>
                <w:b w:val="0"/>
                <w:sz w:val="19"/>
              </w:rPr>
              <w:t>与年报 MD&amp;A 语料成功匹配</w:t>
            </w:r>
          </w:p>
        </w:tc>
        <w:tc>
          <w:tcPr>
            <w:tcW w:type="dxa" w:w="2946"/>
          </w:tcPr>
          <w:p>
            <w:pPr>
              <w:jc w:val="center"/>
            </w:pPr>
            <w:r/>
            <w:r>
              <w:rPr>
                <w:rFonts w:ascii="宋体" w:hAnsi="宋体" w:eastAsia="宋体"/>
                <w:b w:val="0"/>
                <w:sz w:val="19"/>
              </w:rPr>
              <w:t>443</w:t>
            </w:r>
          </w:p>
        </w:tc>
      </w:tr>
      <w:tr>
        <w:tc>
          <w:tcPr>
            <w:tcW w:type="dxa" w:w="2946"/>
          </w:tcPr>
          <w:p>
            <w:pPr>
              <w:jc w:val="center"/>
            </w:pPr>
            <w:r/>
            <w:r>
              <w:rPr>
                <w:rFonts w:ascii="宋体" w:hAnsi="宋体" w:eastAsia="宋体"/>
                <w:b w:val="0"/>
                <w:sz w:val="19"/>
              </w:rPr>
              <w:t>4</w:t>
            </w:r>
          </w:p>
        </w:tc>
        <w:tc>
          <w:tcPr>
            <w:tcW w:type="dxa" w:w="2946"/>
          </w:tcPr>
          <w:p>
            <w:pPr>
              <w:jc w:val="center"/>
            </w:pPr>
            <w:r/>
            <w:r>
              <w:rPr>
                <w:rFonts w:ascii="宋体" w:hAnsi="宋体" w:eastAsia="宋体"/>
                <w:b w:val="0"/>
                <w:sz w:val="19"/>
              </w:rPr>
              <w:t>剔除 MD&amp;A 有效词数 &lt; 500 的抽取失败样本</w:t>
            </w:r>
          </w:p>
        </w:tc>
        <w:tc>
          <w:tcPr>
            <w:tcW w:type="dxa" w:w="2946"/>
          </w:tcPr>
          <w:p>
            <w:pPr>
              <w:jc w:val="center"/>
            </w:pPr>
            <w:r/>
            <w:r>
              <w:rPr>
                <w:rFonts w:ascii="宋体" w:hAnsi="宋体" w:eastAsia="宋体"/>
                <w:b w:val="0"/>
                <w:sz w:val="19"/>
              </w:rPr>
              <w:t>442</w:t>
            </w:r>
          </w:p>
        </w:tc>
      </w:tr>
      <w:tr>
        <w:tc>
          <w:tcPr>
            <w:tcW w:type="dxa" w:w="2946"/>
          </w:tcPr>
          <w:p>
            <w:pPr>
              <w:jc w:val="center"/>
            </w:pPr>
            <w:r/>
            <w:r>
              <w:rPr>
                <w:rFonts w:ascii="宋体" w:hAnsi="宋体" w:eastAsia="宋体"/>
                <w:b w:val="0"/>
                <w:sz w:val="19"/>
              </w:rPr>
              <w:t>5</w:t>
            </w:r>
          </w:p>
        </w:tc>
        <w:tc>
          <w:tcPr>
            <w:tcW w:type="dxa" w:w="2946"/>
          </w:tcPr>
          <w:p>
            <w:pPr>
              <w:jc w:val="center"/>
            </w:pPr>
            <w:r/>
            <w:r>
              <w:rPr>
                <w:rFonts w:ascii="宋体" w:hAnsi="宋体" w:eastAsia="宋体"/>
                <w:b w:val="0"/>
                <w:sz w:val="19"/>
              </w:rPr>
              <w:t>剔除上市当年及以前观测</w:t>
            </w:r>
          </w:p>
        </w:tc>
        <w:tc>
          <w:tcPr>
            <w:tcW w:type="dxa" w:w="2946"/>
          </w:tcPr>
          <w:p>
            <w:pPr>
              <w:jc w:val="center"/>
            </w:pPr>
            <w:r/>
            <w:r>
              <w:rPr>
                <w:rFonts w:ascii="宋体" w:hAnsi="宋体" w:eastAsia="宋体"/>
                <w:b w:val="0"/>
                <w:sz w:val="19"/>
              </w:rPr>
              <w:t>442</w:t>
            </w:r>
          </w:p>
        </w:tc>
      </w:tr>
      <w:tr>
        <w:tc>
          <w:tcPr>
            <w:tcW w:type="dxa" w:w="2946"/>
          </w:tcPr>
          <w:p>
            <w:pPr>
              <w:jc w:val="center"/>
            </w:pPr>
            <w:r/>
            <w:r>
              <w:rPr>
                <w:rFonts w:ascii="宋体" w:hAnsi="宋体" w:eastAsia="宋体"/>
                <w:b w:val="0"/>
                <w:sz w:val="19"/>
              </w:rPr>
              <w:t>6</w:t>
            </w:r>
          </w:p>
        </w:tc>
        <w:tc>
          <w:tcPr>
            <w:tcW w:type="dxa" w:w="2946"/>
          </w:tcPr>
          <w:p>
            <w:pPr>
              <w:jc w:val="center"/>
            </w:pPr>
            <w:r/>
            <w:r>
              <w:rPr>
                <w:rFonts w:ascii="宋体" w:hAnsi="宋体" w:eastAsia="宋体"/>
                <w:b w:val="0"/>
                <w:sz w:val="19"/>
              </w:rPr>
              <w:t>剔除收入/资产缺失或非正观测</w:t>
            </w:r>
          </w:p>
        </w:tc>
        <w:tc>
          <w:tcPr>
            <w:tcW w:type="dxa" w:w="2946"/>
          </w:tcPr>
          <w:p>
            <w:pPr>
              <w:jc w:val="center"/>
            </w:pPr>
            <w:r/>
            <w:r>
              <w:rPr>
                <w:rFonts w:ascii="宋体" w:hAnsi="宋体" w:eastAsia="宋体"/>
                <w:b w:val="0"/>
                <w:sz w:val="19"/>
              </w:rPr>
              <w:t>442</w:t>
            </w:r>
          </w:p>
        </w:tc>
      </w:tr>
    </w:tbl>
    <w:p/>
    <w:p>
      <w:pPr>
        <w:spacing w:line="360" w:lineRule="auto" w:after="120"/>
        <w:ind w:firstLine="480"/>
      </w:pPr>
      <w:r>
        <w:rPr>
          <w:rFonts w:ascii="宋体" w:hAnsi="宋体" w:eastAsia="宋体"/>
          <w:b w:val="0"/>
          <w:sz w:val="24"/>
        </w:rPr>
        <w:t xml:space="preserve">最终得到 </w:t>
      </w:r>
      <w:r>
        <w:rPr>
          <w:rFonts w:ascii="宋体" w:hAnsi="宋体" w:eastAsia="宋体"/>
          <w:b/>
          <w:sz w:val="24"/>
        </w:rPr>
        <w:t>64 家公司、2018—2025 年、442 个企业—年份观测</w:t>
      </w:r>
      <w:r>
        <w:rPr>
          <w:rFonts w:ascii="宋体" w:hAnsi="宋体" w:eastAsia="宋体"/>
          <w:b w:val="0"/>
          <w:sz w:val="24"/>
        </w:rPr>
        <w:t>的非平衡面板，覆盖 27 个行业大类。主要变量的描述性统计如下：</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tcPr>
          <w:p>
            <w:pPr>
              <w:jc w:val="center"/>
            </w:pPr>
            <w:r/>
            <w:r>
              <w:rPr>
                <w:rFonts w:ascii="宋体" w:hAnsi="宋体" w:eastAsia="宋体"/>
                <w:b/>
                <w:sz w:val="19"/>
              </w:rPr>
              <w:t>变量</w:t>
            </w:r>
          </w:p>
        </w:tc>
        <w:tc>
          <w:tcPr>
            <w:tcW w:type="dxa" w:w="1263"/>
          </w:tcPr>
          <w:p>
            <w:pPr>
              <w:jc w:val="center"/>
            </w:pPr>
            <w:r/>
            <w:r>
              <w:rPr>
                <w:rFonts w:ascii="宋体" w:hAnsi="宋体" w:eastAsia="宋体"/>
                <w:b/>
                <w:sz w:val="19"/>
              </w:rPr>
              <w:t>观测数</w:t>
            </w:r>
          </w:p>
        </w:tc>
        <w:tc>
          <w:tcPr>
            <w:tcW w:type="dxa" w:w="1263"/>
          </w:tcPr>
          <w:p>
            <w:pPr>
              <w:jc w:val="center"/>
            </w:pPr>
            <w:r/>
            <w:r>
              <w:rPr>
                <w:rFonts w:ascii="宋体" w:hAnsi="宋体" w:eastAsia="宋体"/>
                <w:b/>
                <w:sz w:val="19"/>
              </w:rPr>
              <w:t>均值</w:t>
            </w:r>
          </w:p>
        </w:tc>
        <w:tc>
          <w:tcPr>
            <w:tcW w:type="dxa" w:w="1263"/>
          </w:tcPr>
          <w:p>
            <w:pPr>
              <w:jc w:val="center"/>
            </w:pPr>
            <w:r/>
            <w:r>
              <w:rPr>
                <w:rFonts w:ascii="宋体" w:hAnsi="宋体" w:eastAsia="宋体"/>
                <w:b/>
                <w:sz w:val="19"/>
              </w:rPr>
              <w:t>标准差</w:t>
            </w:r>
          </w:p>
        </w:tc>
        <w:tc>
          <w:tcPr>
            <w:tcW w:type="dxa" w:w="1263"/>
          </w:tcPr>
          <w:p>
            <w:pPr>
              <w:jc w:val="center"/>
            </w:pPr>
            <w:r/>
            <w:r>
              <w:rPr>
                <w:rFonts w:ascii="宋体" w:hAnsi="宋体" w:eastAsia="宋体"/>
                <w:b/>
                <w:sz w:val="19"/>
              </w:rPr>
              <w:t>最小值</w:t>
            </w:r>
          </w:p>
        </w:tc>
        <w:tc>
          <w:tcPr>
            <w:tcW w:type="dxa" w:w="1263"/>
          </w:tcPr>
          <w:p>
            <w:pPr>
              <w:jc w:val="center"/>
            </w:pPr>
            <w:r/>
            <w:r>
              <w:rPr>
                <w:rFonts w:ascii="宋体" w:hAnsi="宋体" w:eastAsia="宋体"/>
                <w:b/>
                <w:sz w:val="19"/>
              </w:rPr>
              <w:t>中位数</w:t>
            </w:r>
          </w:p>
        </w:tc>
        <w:tc>
          <w:tcPr>
            <w:tcW w:type="dxa" w:w="1263"/>
          </w:tcPr>
          <w:p>
            <w:pPr>
              <w:jc w:val="center"/>
            </w:pPr>
            <w:r/>
            <w:r>
              <w:rPr>
                <w:rFonts w:ascii="宋体" w:hAnsi="宋体" w:eastAsia="宋体"/>
                <w:b/>
                <w:sz w:val="19"/>
              </w:rPr>
              <w:t>最大值</w:t>
            </w:r>
          </w:p>
        </w:tc>
      </w:tr>
      <w:tr>
        <w:tc>
          <w:tcPr>
            <w:tcW w:type="dxa" w:w="1263"/>
          </w:tcPr>
          <w:p>
            <w:pPr>
              <w:jc w:val="center"/>
            </w:pPr>
            <w:r/>
            <w:r>
              <w:rPr>
                <w:rFonts w:ascii="宋体" w:hAnsi="宋体" w:eastAsia="宋体"/>
                <w:b w:val="0"/>
                <w:sz w:val="19"/>
              </w:rPr>
              <w:t>RD（研发强度 %）</w:t>
            </w:r>
          </w:p>
        </w:tc>
        <w:tc>
          <w:tcPr>
            <w:tcW w:type="dxa" w:w="1263"/>
          </w:tcPr>
          <w:p>
            <w:pPr>
              <w:jc w:val="center"/>
            </w:pPr>
            <w:r/>
            <w:r>
              <w:rPr>
                <w:rFonts w:ascii="宋体" w:hAnsi="宋体" w:eastAsia="宋体"/>
                <w:b w:val="0"/>
                <w:sz w:val="19"/>
              </w:rPr>
              <w:t>442</w:t>
            </w:r>
          </w:p>
        </w:tc>
        <w:tc>
          <w:tcPr>
            <w:tcW w:type="dxa" w:w="1263"/>
          </w:tcPr>
          <w:p>
            <w:pPr>
              <w:jc w:val="center"/>
            </w:pPr>
            <w:r/>
            <w:r>
              <w:rPr>
                <w:rFonts w:ascii="宋体" w:hAnsi="宋体" w:eastAsia="宋体"/>
                <w:b w:val="0"/>
                <w:sz w:val="19"/>
              </w:rPr>
              <w:t>3.349</w:t>
            </w:r>
          </w:p>
        </w:tc>
        <w:tc>
          <w:tcPr>
            <w:tcW w:type="dxa" w:w="1263"/>
          </w:tcPr>
          <w:p>
            <w:pPr>
              <w:jc w:val="center"/>
            </w:pPr>
            <w:r/>
            <w:r>
              <w:rPr>
                <w:rFonts w:ascii="宋体" w:hAnsi="宋体" w:eastAsia="宋体"/>
                <w:b w:val="0"/>
                <w:sz w:val="19"/>
              </w:rPr>
              <w:t>4.090</w:t>
            </w:r>
          </w:p>
        </w:tc>
        <w:tc>
          <w:tcPr>
            <w:tcW w:type="dxa" w:w="1263"/>
          </w:tcPr>
          <w:p>
            <w:pPr>
              <w:jc w:val="center"/>
            </w:pPr>
            <w:r/>
            <w:r>
              <w:rPr>
                <w:rFonts w:ascii="宋体" w:hAnsi="宋体" w:eastAsia="宋体"/>
                <w:b w:val="0"/>
                <w:sz w:val="19"/>
              </w:rPr>
              <w:t>0.000</w:t>
            </w:r>
          </w:p>
        </w:tc>
        <w:tc>
          <w:tcPr>
            <w:tcW w:type="dxa" w:w="1263"/>
          </w:tcPr>
          <w:p>
            <w:pPr>
              <w:jc w:val="center"/>
            </w:pPr>
            <w:r/>
            <w:r>
              <w:rPr>
                <w:rFonts w:ascii="宋体" w:hAnsi="宋体" w:eastAsia="宋体"/>
                <w:b w:val="0"/>
                <w:sz w:val="19"/>
              </w:rPr>
              <w:t>1.994</w:t>
            </w:r>
          </w:p>
        </w:tc>
        <w:tc>
          <w:tcPr>
            <w:tcW w:type="dxa" w:w="1263"/>
          </w:tcPr>
          <w:p>
            <w:pPr>
              <w:jc w:val="center"/>
            </w:pPr>
            <w:r/>
            <w:r>
              <w:rPr>
                <w:rFonts w:ascii="宋体" w:hAnsi="宋体" w:eastAsia="宋体"/>
                <w:b w:val="0"/>
                <w:sz w:val="19"/>
              </w:rPr>
              <w:t>22.409</w:t>
            </w:r>
          </w:p>
        </w:tc>
      </w:tr>
      <w:tr>
        <w:tc>
          <w:tcPr>
            <w:tcW w:type="dxa" w:w="1263"/>
          </w:tcPr>
          <w:p>
            <w:pPr>
              <w:jc w:val="center"/>
            </w:pPr>
            <w:r/>
            <w:r>
              <w:rPr>
                <w:rFonts w:ascii="宋体" w:hAnsi="宋体" w:eastAsia="宋体"/>
                <w:b w:val="0"/>
                <w:sz w:val="19"/>
              </w:rPr>
              <w:t>Capex（资本支出强度 %）</w:t>
            </w:r>
          </w:p>
        </w:tc>
        <w:tc>
          <w:tcPr>
            <w:tcW w:type="dxa" w:w="1263"/>
          </w:tcPr>
          <w:p>
            <w:pPr>
              <w:jc w:val="center"/>
            </w:pPr>
            <w:r/>
            <w:r>
              <w:rPr>
                <w:rFonts w:ascii="宋体" w:hAnsi="宋体" w:eastAsia="宋体"/>
                <w:b w:val="0"/>
                <w:sz w:val="19"/>
              </w:rPr>
              <w:t>442</w:t>
            </w:r>
          </w:p>
        </w:tc>
        <w:tc>
          <w:tcPr>
            <w:tcW w:type="dxa" w:w="1263"/>
          </w:tcPr>
          <w:p>
            <w:pPr>
              <w:jc w:val="center"/>
            </w:pPr>
            <w:r/>
            <w:r>
              <w:rPr>
                <w:rFonts w:ascii="宋体" w:hAnsi="宋体" w:eastAsia="宋体"/>
                <w:b w:val="0"/>
                <w:sz w:val="19"/>
              </w:rPr>
              <w:t>4.012</w:t>
            </w:r>
          </w:p>
        </w:tc>
        <w:tc>
          <w:tcPr>
            <w:tcW w:type="dxa" w:w="1263"/>
          </w:tcPr>
          <w:p>
            <w:pPr>
              <w:jc w:val="center"/>
            </w:pPr>
            <w:r/>
            <w:r>
              <w:rPr>
                <w:rFonts w:ascii="宋体" w:hAnsi="宋体" w:eastAsia="宋体"/>
                <w:b w:val="0"/>
                <w:sz w:val="19"/>
              </w:rPr>
              <w:t>4.795</w:t>
            </w:r>
          </w:p>
        </w:tc>
        <w:tc>
          <w:tcPr>
            <w:tcW w:type="dxa" w:w="1263"/>
          </w:tcPr>
          <w:p>
            <w:pPr>
              <w:jc w:val="center"/>
            </w:pPr>
            <w:r/>
            <w:r>
              <w:rPr>
                <w:rFonts w:ascii="宋体" w:hAnsi="宋体" w:eastAsia="宋体"/>
                <w:b w:val="0"/>
                <w:sz w:val="19"/>
              </w:rPr>
              <w:t>0.024</w:t>
            </w:r>
          </w:p>
        </w:tc>
        <w:tc>
          <w:tcPr>
            <w:tcW w:type="dxa" w:w="1263"/>
          </w:tcPr>
          <w:p>
            <w:pPr>
              <w:jc w:val="center"/>
            </w:pPr>
            <w:r/>
            <w:r>
              <w:rPr>
                <w:rFonts w:ascii="宋体" w:hAnsi="宋体" w:eastAsia="宋体"/>
                <w:b w:val="0"/>
                <w:sz w:val="19"/>
              </w:rPr>
              <w:t>2.369</w:t>
            </w:r>
          </w:p>
        </w:tc>
        <w:tc>
          <w:tcPr>
            <w:tcW w:type="dxa" w:w="1263"/>
          </w:tcPr>
          <w:p>
            <w:pPr>
              <w:jc w:val="center"/>
            </w:pPr>
            <w:r/>
            <w:r>
              <w:rPr>
                <w:rFonts w:ascii="宋体" w:hAnsi="宋体" w:eastAsia="宋体"/>
                <w:b w:val="0"/>
                <w:sz w:val="19"/>
              </w:rPr>
              <w:t>37.610</w:t>
            </w:r>
          </w:p>
        </w:tc>
      </w:tr>
      <w:tr>
        <w:tc>
          <w:tcPr>
            <w:tcW w:type="dxa" w:w="1263"/>
          </w:tcPr>
          <w:p>
            <w:pPr>
              <w:jc w:val="center"/>
            </w:pPr>
            <w:r/>
            <w:r>
              <w:rPr>
                <w:rFonts w:ascii="宋体" w:hAnsi="宋体" w:eastAsia="宋体"/>
                <w:b w:val="0"/>
                <w:sz w:val="19"/>
              </w:rPr>
              <w:t>NTH_diff</w:t>
            </w:r>
          </w:p>
        </w:tc>
        <w:tc>
          <w:tcPr>
            <w:tcW w:type="dxa" w:w="1263"/>
          </w:tcPr>
          <w:p>
            <w:pPr>
              <w:jc w:val="center"/>
            </w:pPr>
            <w:r/>
            <w:r>
              <w:rPr>
                <w:rFonts w:ascii="宋体" w:hAnsi="宋体" w:eastAsia="宋体"/>
                <w:b w:val="0"/>
                <w:sz w:val="19"/>
              </w:rPr>
              <w:t>442</w:t>
            </w:r>
          </w:p>
        </w:tc>
        <w:tc>
          <w:tcPr>
            <w:tcW w:type="dxa" w:w="1263"/>
          </w:tcPr>
          <w:p>
            <w:pPr>
              <w:jc w:val="center"/>
            </w:pPr>
            <w:r/>
            <w:r>
              <w:rPr>
                <w:rFonts w:ascii="宋体" w:hAnsi="宋体" w:eastAsia="宋体"/>
                <w:b w:val="0"/>
                <w:sz w:val="19"/>
              </w:rPr>
              <w:t>−0.105</w:t>
            </w:r>
          </w:p>
        </w:tc>
        <w:tc>
          <w:tcPr>
            <w:tcW w:type="dxa" w:w="1263"/>
          </w:tcPr>
          <w:p>
            <w:pPr>
              <w:jc w:val="center"/>
            </w:pPr>
            <w:r/>
            <w:r>
              <w:rPr>
                <w:rFonts w:ascii="宋体" w:hAnsi="宋体" w:eastAsia="宋体"/>
                <w:b w:val="0"/>
                <w:sz w:val="19"/>
              </w:rPr>
              <w:t>0.073</w:t>
            </w:r>
          </w:p>
        </w:tc>
        <w:tc>
          <w:tcPr>
            <w:tcW w:type="dxa" w:w="1263"/>
          </w:tcPr>
          <w:p>
            <w:pPr>
              <w:jc w:val="center"/>
            </w:pPr>
            <w:r/>
            <w:r>
              <w:rPr>
                <w:rFonts w:ascii="宋体" w:hAnsi="宋体" w:eastAsia="宋体"/>
                <w:b w:val="0"/>
                <w:sz w:val="19"/>
              </w:rPr>
              <w:t>−0.375</w:t>
            </w:r>
          </w:p>
        </w:tc>
        <w:tc>
          <w:tcPr>
            <w:tcW w:type="dxa" w:w="1263"/>
          </w:tcPr>
          <w:p>
            <w:pPr>
              <w:jc w:val="center"/>
            </w:pPr>
            <w:r/>
            <w:r>
              <w:rPr>
                <w:rFonts w:ascii="宋体" w:hAnsi="宋体" w:eastAsia="宋体"/>
                <w:b w:val="0"/>
                <w:sz w:val="19"/>
              </w:rPr>
              <w:t>−0.099</w:t>
            </w:r>
          </w:p>
        </w:tc>
        <w:tc>
          <w:tcPr>
            <w:tcW w:type="dxa" w:w="1263"/>
          </w:tcPr>
          <w:p>
            <w:pPr>
              <w:jc w:val="center"/>
            </w:pPr>
            <w:r/>
            <w:r>
              <w:rPr>
                <w:rFonts w:ascii="宋体" w:hAnsi="宋体" w:eastAsia="宋体"/>
                <w:b w:val="0"/>
                <w:sz w:val="19"/>
              </w:rPr>
              <w:t>0.156</w:t>
            </w:r>
          </w:p>
        </w:tc>
      </w:tr>
      <w:tr>
        <w:tc>
          <w:tcPr>
            <w:tcW w:type="dxa" w:w="1263"/>
          </w:tcPr>
          <w:p>
            <w:pPr>
              <w:jc w:val="center"/>
            </w:pPr>
            <w:r/>
            <w:r>
              <w:rPr>
                <w:rFonts w:ascii="宋体" w:hAnsi="宋体" w:eastAsia="宋体"/>
                <w:b w:val="0"/>
                <w:sz w:val="19"/>
              </w:rPr>
              <w:t>Myopia_dict</w:t>
            </w:r>
          </w:p>
        </w:tc>
        <w:tc>
          <w:tcPr>
            <w:tcW w:type="dxa" w:w="1263"/>
          </w:tcPr>
          <w:p>
            <w:pPr>
              <w:jc w:val="center"/>
            </w:pPr>
            <w:r/>
            <w:r>
              <w:rPr>
                <w:rFonts w:ascii="宋体" w:hAnsi="宋体" w:eastAsia="宋体"/>
                <w:b w:val="0"/>
                <w:sz w:val="19"/>
              </w:rPr>
              <w:t>442</w:t>
            </w:r>
          </w:p>
        </w:tc>
        <w:tc>
          <w:tcPr>
            <w:tcW w:type="dxa" w:w="1263"/>
          </w:tcPr>
          <w:p>
            <w:pPr>
              <w:jc w:val="center"/>
            </w:pPr>
            <w:r/>
            <w:r>
              <w:rPr>
                <w:rFonts w:ascii="宋体" w:hAnsi="宋体" w:eastAsia="宋体"/>
                <w:b w:val="0"/>
                <w:sz w:val="19"/>
              </w:rPr>
              <w:t>0.013</w:t>
            </w:r>
          </w:p>
        </w:tc>
        <w:tc>
          <w:tcPr>
            <w:tcW w:type="dxa" w:w="1263"/>
          </w:tcPr>
          <w:p>
            <w:pPr>
              <w:jc w:val="center"/>
            </w:pPr>
            <w:r/>
            <w:r>
              <w:rPr>
                <w:rFonts w:ascii="宋体" w:hAnsi="宋体" w:eastAsia="宋体"/>
                <w:b w:val="0"/>
                <w:sz w:val="19"/>
              </w:rPr>
              <w:t>0.022</w:t>
            </w:r>
          </w:p>
        </w:tc>
        <w:tc>
          <w:tcPr>
            <w:tcW w:type="dxa" w:w="1263"/>
          </w:tcPr>
          <w:p>
            <w:pPr>
              <w:jc w:val="center"/>
            </w:pPr>
            <w:r/>
            <w:r>
              <w:rPr>
                <w:rFonts w:ascii="宋体" w:hAnsi="宋体" w:eastAsia="宋体"/>
                <w:b w:val="0"/>
                <w:sz w:val="19"/>
              </w:rPr>
              <w:t>0.000</w:t>
            </w:r>
          </w:p>
        </w:tc>
        <w:tc>
          <w:tcPr>
            <w:tcW w:type="dxa" w:w="1263"/>
          </w:tcPr>
          <w:p>
            <w:pPr>
              <w:jc w:val="center"/>
            </w:pPr>
            <w:r/>
            <w:r>
              <w:rPr>
                <w:rFonts w:ascii="宋体" w:hAnsi="宋体" w:eastAsia="宋体"/>
                <w:b w:val="0"/>
                <w:sz w:val="19"/>
              </w:rPr>
              <w:t>0.000</w:t>
            </w:r>
          </w:p>
        </w:tc>
        <w:tc>
          <w:tcPr>
            <w:tcW w:type="dxa" w:w="1263"/>
          </w:tcPr>
          <w:p>
            <w:pPr>
              <w:jc w:val="center"/>
            </w:pPr>
            <w:r/>
            <w:r>
              <w:rPr>
                <w:rFonts w:ascii="宋体" w:hAnsi="宋体" w:eastAsia="宋体"/>
                <w:b w:val="0"/>
                <w:sz w:val="19"/>
              </w:rPr>
              <w:t>0.187</w:t>
            </w:r>
          </w:p>
        </w:tc>
      </w:tr>
      <w:tr>
        <w:tc>
          <w:tcPr>
            <w:tcW w:type="dxa" w:w="1263"/>
          </w:tcPr>
          <w:p>
            <w:pPr>
              <w:jc w:val="center"/>
            </w:pPr>
            <w:r/>
            <w:r>
              <w:rPr>
                <w:rFonts w:ascii="宋体" w:hAnsi="宋体" w:eastAsia="宋体"/>
                <w:b w:val="0"/>
                <w:sz w:val="19"/>
              </w:rPr>
              <w:t>Size</w:t>
            </w:r>
          </w:p>
        </w:tc>
        <w:tc>
          <w:tcPr>
            <w:tcW w:type="dxa" w:w="1263"/>
          </w:tcPr>
          <w:p>
            <w:pPr>
              <w:jc w:val="center"/>
            </w:pPr>
            <w:r/>
            <w:r>
              <w:rPr>
                <w:rFonts w:ascii="宋体" w:hAnsi="宋体" w:eastAsia="宋体"/>
                <w:b w:val="0"/>
                <w:sz w:val="19"/>
              </w:rPr>
              <w:t>442</w:t>
            </w:r>
          </w:p>
        </w:tc>
        <w:tc>
          <w:tcPr>
            <w:tcW w:type="dxa" w:w="1263"/>
          </w:tcPr>
          <w:p>
            <w:pPr>
              <w:jc w:val="center"/>
            </w:pPr>
            <w:r/>
            <w:r>
              <w:rPr>
                <w:rFonts w:ascii="宋体" w:hAnsi="宋体" w:eastAsia="宋体"/>
                <w:b w:val="0"/>
                <w:sz w:val="19"/>
              </w:rPr>
              <w:t>22.485</w:t>
            </w:r>
          </w:p>
        </w:tc>
        <w:tc>
          <w:tcPr>
            <w:tcW w:type="dxa" w:w="1263"/>
          </w:tcPr>
          <w:p>
            <w:pPr>
              <w:jc w:val="center"/>
            </w:pPr>
            <w:r/>
            <w:r>
              <w:rPr>
                <w:rFonts w:ascii="宋体" w:hAnsi="宋体" w:eastAsia="宋体"/>
                <w:b w:val="0"/>
                <w:sz w:val="19"/>
              </w:rPr>
              <w:t>1.284</w:t>
            </w:r>
          </w:p>
        </w:tc>
        <w:tc>
          <w:tcPr>
            <w:tcW w:type="dxa" w:w="1263"/>
          </w:tcPr>
          <w:p>
            <w:pPr>
              <w:jc w:val="center"/>
            </w:pPr>
            <w:r/>
            <w:r>
              <w:rPr>
                <w:rFonts w:ascii="宋体" w:hAnsi="宋体" w:eastAsia="宋体"/>
                <w:b w:val="0"/>
                <w:sz w:val="19"/>
              </w:rPr>
              <w:t>19.768</w:t>
            </w:r>
          </w:p>
        </w:tc>
        <w:tc>
          <w:tcPr>
            <w:tcW w:type="dxa" w:w="1263"/>
          </w:tcPr>
          <w:p>
            <w:pPr>
              <w:jc w:val="center"/>
            </w:pPr>
            <w:r/>
            <w:r>
              <w:rPr>
                <w:rFonts w:ascii="宋体" w:hAnsi="宋体" w:eastAsia="宋体"/>
                <w:b w:val="0"/>
                <w:sz w:val="19"/>
              </w:rPr>
              <w:t>22.287</w:t>
            </w:r>
          </w:p>
        </w:tc>
        <w:tc>
          <w:tcPr>
            <w:tcW w:type="dxa" w:w="1263"/>
          </w:tcPr>
          <w:p>
            <w:pPr>
              <w:jc w:val="center"/>
            </w:pPr>
            <w:r/>
            <w:r>
              <w:rPr>
                <w:rFonts w:ascii="宋体" w:hAnsi="宋体" w:eastAsia="宋体"/>
                <w:b w:val="0"/>
                <w:sz w:val="19"/>
              </w:rPr>
              <w:t>26.333</w:t>
            </w:r>
          </w:p>
        </w:tc>
      </w:tr>
      <w:tr>
        <w:tc>
          <w:tcPr>
            <w:tcW w:type="dxa" w:w="1263"/>
          </w:tcPr>
          <w:p>
            <w:pPr>
              <w:jc w:val="center"/>
            </w:pPr>
            <w:r/>
            <w:r>
              <w:rPr>
                <w:rFonts w:ascii="宋体" w:hAnsi="宋体" w:eastAsia="宋体"/>
                <w:b w:val="0"/>
                <w:sz w:val="19"/>
              </w:rPr>
              <w:t>Lev</w:t>
            </w:r>
          </w:p>
        </w:tc>
        <w:tc>
          <w:tcPr>
            <w:tcW w:type="dxa" w:w="1263"/>
          </w:tcPr>
          <w:p>
            <w:pPr>
              <w:jc w:val="center"/>
            </w:pPr>
            <w:r/>
            <w:r>
              <w:rPr>
                <w:rFonts w:ascii="宋体" w:hAnsi="宋体" w:eastAsia="宋体"/>
                <w:b w:val="0"/>
                <w:sz w:val="19"/>
              </w:rPr>
              <w:t>442</w:t>
            </w:r>
          </w:p>
        </w:tc>
        <w:tc>
          <w:tcPr>
            <w:tcW w:type="dxa" w:w="1263"/>
          </w:tcPr>
          <w:p>
            <w:pPr>
              <w:jc w:val="center"/>
            </w:pPr>
            <w:r/>
            <w:r>
              <w:rPr>
                <w:rFonts w:ascii="宋体" w:hAnsi="宋体" w:eastAsia="宋体"/>
                <w:b w:val="0"/>
                <w:sz w:val="19"/>
              </w:rPr>
              <w:t>0.381</w:t>
            </w:r>
          </w:p>
        </w:tc>
        <w:tc>
          <w:tcPr>
            <w:tcW w:type="dxa" w:w="1263"/>
          </w:tcPr>
          <w:p>
            <w:pPr>
              <w:jc w:val="center"/>
            </w:pPr>
            <w:r/>
            <w:r>
              <w:rPr>
                <w:rFonts w:ascii="宋体" w:hAnsi="宋体" w:eastAsia="宋体"/>
                <w:b w:val="0"/>
                <w:sz w:val="19"/>
              </w:rPr>
              <w:t>0.208</w:t>
            </w:r>
          </w:p>
        </w:tc>
        <w:tc>
          <w:tcPr>
            <w:tcW w:type="dxa" w:w="1263"/>
          </w:tcPr>
          <w:p>
            <w:pPr>
              <w:jc w:val="center"/>
            </w:pPr>
            <w:r/>
            <w:r>
              <w:rPr>
                <w:rFonts w:ascii="宋体" w:hAnsi="宋体" w:eastAsia="宋体"/>
                <w:b w:val="0"/>
                <w:sz w:val="19"/>
              </w:rPr>
              <w:t>0.018</w:t>
            </w:r>
          </w:p>
        </w:tc>
        <w:tc>
          <w:tcPr>
            <w:tcW w:type="dxa" w:w="1263"/>
          </w:tcPr>
          <w:p>
            <w:pPr>
              <w:jc w:val="center"/>
            </w:pPr>
            <w:r/>
            <w:r>
              <w:rPr>
                <w:rFonts w:ascii="宋体" w:hAnsi="宋体" w:eastAsia="宋体"/>
                <w:b w:val="0"/>
                <w:sz w:val="19"/>
              </w:rPr>
              <w:t>0.355</w:t>
            </w:r>
          </w:p>
        </w:tc>
        <w:tc>
          <w:tcPr>
            <w:tcW w:type="dxa" w:w="1263"/>
          </w:tcPr>
          <w:p>
            <w:pPr>
              <w:jc w:val="center"/>
            </w:pPr>
            <w:r/>
            <w:r>
              <w:rPr>
                <w:rFonts w:ascii="宋体" w:hAnsi="宋体" w:eastAsia="宋体"/>
                <w:b w:val="0"/>
                <w:sz w:val="19"/>
              </w:rPr>
              <w:t>1.111</w:t>
            </w:r>
          </w:p>
        </w:tc>
      </w:tr>
      <w:tr>
        <w:tc>
          <w:tcPr>
            <w:tcW w:type="dxa" w:w="1263"/>
          </w:tcPr>
          <w:p>
            <w:pPr>
              <w:jc w:val="center"/>
            </w:pPr>
            <w:r/>
            <w:r>
              <w:rPr>
                <w:rFonts w:ascii="宋体" w:hAnsi="宋体" w:eastAsia="宋体"/>
                <w:b w:val="0"/>
                <w:sz w:val="19"/>
              </w:rPr>
              <w:t>ROA（%）</w:t>
            </w:r>
          </w:p>
        </w:tc>
        <w:tc>
          <w:tcPr>
            <w:tcW w:type="dxa" w:w="1263"/>
          </w:tcPr>
          <w:p>
            <w:pPr>
              <w:jc w:val="center"/>
            </w:pPr>
            <w:r/>
            <w:r>
              <w:rPr>
                <w:rFonts w:ascii="宋体" w:hAnsi="宋体" w:eastAsia="宋体"/>
                <w:b w:val="0"/>
                <w:sz w:val="19"/>
              </w:rPr>
              <w:t>442</w:t>
            </w:r>
          </w:p>
        </w:tc>
        <w:tc>
          <w:tcPr>
            <w:tcW w:type="dxa" w:w="1263"/>
          </w:tcPr>
          <w:p>
            <w:pPr>
              <w:jc w:val="center"/>
            </w:pPr>
            <w:r/>
            <w:r>
              <w:rPr>
                <w:rFonts w:ascii="宋体" w:hAnsi="宋体" w:eastAsia="宋体"/>
                <w:b w:val="0"/>
                <w:sz w:val="19"/>
              </w:rPr>
              <w:t>1.131</w:t>
            </w:r>
          </w:p>
        </w:tc>
        <w:tc>
          <w:tcPr>
            <w:tcW w:type="dxa" w:w="1263"/>
          </w:tcPr>
          <w:p>
            <w:pPr>
              <w:jc w:val="center"/>
            </w:pPr>
            <w:r/>
            <w:r>
              <w:rPr>
                <w:rFonts w:ascii="宋体" w:hAnsi="宋体" w:eastAsia="宋体"/>
                <w:b w:val="0"/>
                <w:sz w:val="19"/>
              </w:rPr>
              <w:t>8.094</w:t>
            </w:r>
          </w:p>
        </w:tc>
        <w:tc>
          <w:tcPr>
            <w:tcW w:type="dxa" w:w="1263"/>
          </w:tcPr>
          <w:p>
            <w:pPr>
              <w:jc w:val="center"/>
            </w:pPr>
            <w:r/>
            <w:r>
              <w:rPr>
                <w:rFonts w:ascii="宋体" w:hAnsi="宋体" w:eastAsia="宋体"/>
                <w:b w:val="0"/>
                <w:sz w:val="19"/>
              </w:rPr>
              <w:t>−43.303</w:t>
            </w:r>
          </w:p>
        </w:tc>
        <w:tc>
          <w:tcPr>
            <w:tcW w:type="dxa" w:w="1263"/>
          </w:tcPr>
          <w:p>
            <w:pPr>
              <w:jc w:val="center"/>
            </w:pPr>
            <w:r/>
            <w:r>
              <w:rPr>
                <w:rFonts w:ascii="宋体" w:hAnsi="宋体" w:eastAsia="宋体"/>
                <w:b w:val="0"/>
                <w:sz w:val="19"/>
              </w:rPr>
              <w:t>1.902</w:t>
            </w:r>
          </w:p>
        </w:tc>
        <w:tc>
          <w:tcPr>
            <w:tcW w:type="dxa" w:w="1263"/>
          </w:tcPr>
          <w:p>
            <w:pPr>
              <w:jc w:val="center"/>
            </w:pPr>
            <w:r/>
            <w:r>
              <w:rPr>
                <w:rFonts w:ascii="宋体" w:hAnsi="宋体" w:eastAsia="宋体"/>
                <w:b w:val="0"/>
                <w:sz w:val="19"/>
              </w:rPr>
              <w:t>32.842</w:t>
            </w:r>
          </w:p>
        </w:tc>
      </w:tr>
    </w:tbl>
    <w:p/>
    <w:p>
      <w:pPr>
        <w:spacing w:line="360" w:lineRule="auto" w:after="120"/>
        <w:ind w:firstLine="480"/>
      </w:pPr>
      <w:r>
        <w:rPr>
          <w:rFonts w:ascii="宋体" w:hAnsi="宋体" w:eastAsia="宋体"/>
          <w:b w:val="0"/>
          <w:sz w:val="24"/>
        </w:rPr>
        <w:t xml:space="preserve">值得注意的是，`Myopia_dict` 的中位数为 </w:t>
      </w:r>
      <w:r>
        <w:rPr>
          <w:rFonts w:ascii="宋体" w:hAnsi="宋体" w:eastAsia="宋体"/>
          <w:b/>
          <w:sz w:val="24"/>
        </w:rPr>
        <w:t>0</w:t>
      </w:r>
      <w:r>
        <w:rPr>
          <w:rFonts w:ascii="宋体" w:hAnsi="宋体" w:eastAsia="宋体"/>
          <w:b w:val="0"/>
          <w:sz w:val="24"/>
        </w:rPr>
        <w:t>，且 25% 分位数亦为 0——即有超过四分之一的企业—年份观测在整篇 MD&amp;A 中</w:t>
      </w:r>
      <w:r>
        <w:rPr>
          <w:rFonts w:ascii="宋体" w:hAnsi="宋体" w:eastAsia="宋体"/>
          <w:b/>
          <w:sz w:val="24"/>
        </w:rPr>
        <w:t>一次短视语都没有出现</w:t>
      </w:r>
      <w:r>
        <w:rPr>
          <w:rFonts w:ascii="宋体" w:hAnsi="宋体" w:eastAsia="宋体"/>
          <w:b w:val="0"/>
          <w:sz w:val="24"/>
        </w:rPr>
        <w:t>。这一分布本身即是对 §3.3 判读结论的独立佐证：短视语在本土披露中属于稀有事件，而非普遍现象。</w:t>
      </w:r>
    </w:p>
    <w:p>
      <w:pPr>
        <w:spacing w:line="360" w:lineRule="auto" w:after="120"/>
        <w:ind w:firstLine="480"/>
      </w:pPr>
      <w:r>
        <w:rPr>
          <w:rFonts w:ascii="宋体" w:hAnsi="宋体" w:eastAsia="宋体"/>
          <w:b/>
          <w:sz w:val="24"/>
        </w:rPr>
        <w:t>（2）变量定义表：</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pPr>
              <w:jc w:val="center"/>
            </w:pPr>
            <w:r/>
            <w:r>
              <w:rPr>
                <w:rFonts w:ascii="宋体" w:hAnsi="宋体" w:eastAsia="宋体"/>
                <w:b/>
                <w:sz w:val="19"/>
              </w:rPr>
              <w:t>类型</w:t>
            </w:r>
          </w:p>
        </w:tc>
        <w:tc>
          <w:tcPr>
            <w:tcW w:type="dxa" w:w="2209"/>
          </w:tcPr>
          <w:p>
            <w:pPr>
              <w:jc w:val="center"/>
            </w:pPr>
            <w:r/>
            <w:r>
              <w:rPr>
                <w:rFonts w:ascii="宋体" w:hAnsi="宋体" w:eastAsia="宋体"/>
                <w:b/>
                <w:sz w:val="19"/>
              </w:rPr>
              <w:t>变量</w:t>
            </w:r>
          </w:p>
        </w:tc>
        <w:tc>
          <w:tcPr>
            <w:tcW w:type="dxa" w:w="2209"/>
          </w:tcPr>
          <w:p>
            <w:pPr>
              <w:jc w:val="center"/>
            </w:pPr>
            <w:r/>
            <w:r>
              <w:rPr>
                <w:rFonts w:ascii="宋体" w:hAnsi="宋体" w:eastAsia="宋体"/>
                <w:b/>
                <w:sz w:val="19"/>
              </w:rPr>
              <w:t>定义</w:t>
            </w:r>
          </w:p>
        </w:tc>
        <w:tc>
          <w:tcPr>
            <w:tcW w:type="dxa" w:w="2209"/>
          </w:tcPr>
          <w:p>
            <w:pPr>
              <w:jc w:val="center"/>
            </w:pPr>
            <w:r/>
            <w:r>
              <w:rPr>
                <w:rFonts w:ascii="宋体" w:hAnsi="宋体" w:eastAsia="宋体"/>
                <w:b/>
                <w:sz w:val="19"/>
              </w:rPr>
              <w:t>来源</w:t>
            </w:r>
          </w:p>
        </w:tc>
      </w:tr>
      <w:tr>
        <w:tc>
          <w:tcPr>
            <w:tcW w:type="dxa" w:w="2209"/>
          </w:tcPr>
          <w:p>
            <w:pPr>
              <w:jc w:val="center"/>
            </w:pPr>
            <w:r/>
            <w:r>
              <w:rPr>
                <w:rFonts w:ascii="宋体" w:hAnsi="宋体" w:eastAsia="宋体"/>
                <w:b w:val="0"/>
                <w:sz w:val="19"/>
              </w:rPr>
              <w:t>被解释</w:t>
            </w:r>
          </w:p>
        </w:tc>
        <w:tc>
          <w:tcPr>
            <w:tcW w:type="dxa" w:w="2209"/>
          </w:tcPr>
          <w:p>
            <w:pPr>
              <w:jc w:val="center"/>
            </w:pPr>
            <w:r/>
            <w:r>
              <w:rPr>
                <w:rFonts w:ascii="宋体" w:hAnsi="宋体" w:eastAsia="宋体"/>
                <w:b w:val="0"/>
                <w:sz w:val="19"/>
              </w:rPr>
              <w:t>RD</w:t>
            </w:r>
          </w:p>
        </w:tc>
        <w:tc>
          <w:tcPr>
            <w:tcW w:type="dxa" w:w="2209"/>
          </w:tcPr>
          <w:p>
            <w:pPr>
              <w:jc w:val="center"/>
            </w:pPr>
            <w:r/>
            <w:r>
              <w:rPr>
                <w:rFonts w:ascii="宋体" w:hAnsi="宋体" w:eastAsia="宋体"/>
                <w:b w:val="0"/>
                <w:sz w:val="19"/>
              </w:rPr>
              <w:t>研发费用／营业总收入 × 100</w:t>
            </w:r>
          </w:p>
        </w:tc>
        <w:tc>
          <w:tcPr>
            <w:tcW w:type="dxa" w:w="2209"/>
          </w:tcPr>
          <w:p>
            <w:pPr>
              <w:jc w:val="center"/>
            </w:pPr>
            <w:r/>
            <w:r>
              <w:rPr>
                <w:rFonts w:ascii="宋体" w:hAnsi="宋体" w:eastAsia="宋体"/>
                <w:b w:val="0"/>
                <w:sz w:val="19"/>
              </w:rPr>
              <w:t>利润表</w:t>
            </w:r>
          </w:p>
        </w:tc>
      </w:tr>
      <w:tr>
        <w:tc>
          <w:tcPr>
            <w:tcW w:type="dxa" w:w="2209"/>
          </w:tcPr>
          <w:p>
            <w:pPr>
              <w:jc w:val="center"/>
            </w:pPr>
            <w:r/>
            <w:r>
              <w:rPr>
                <w:rFonts w:ascii="宋体" w:hAnsi="宋体" w:eastAsia="宋体"/>
                <w:b w:val="0"/>
                <w:sz w:val="19"/>
              </w:rPr>
              <w:t>被解释</w:t>
            </w:r>
          </w:p>
        </w:tc>
        <w:tc>
          <w:tcPr>
            <w:tcW w:type="dxa" w:w="2209"/>
          </w:tcPr>
          <w:p>
            <w:pPr>
              <w:jc w:val="center"/>
            </w:pPr>
            <w:r/>
            <w:r>
              <w:rPr>
                <w:rFonts w:ascii="宋体" w:hAnsi="宋体" w:eastAsia="宋体"/>
                <w:b w:val="0"/>
                <w:sz w:val="19"/>
              </w:rPr>
              <w:t>Capex</w:t>
            </w:r>
          </w:p>
        </w:tc>
        <w:tc>
          <w:tcPr>
            <w:tcW w:type="dxa" w:w="2209"/>
          </w:tcPr>
          <w:p>
            <w:pPr>
              <w:jc w:val="center"/>
            </w:pPr>
            <w:r/>
            <w:r>
              <w:rPr>
                <w:rFonts w:ascii="宋体" w:hAnsi="宋体" w:eastAsia="宋体"/>
                <w:b w:val="0"/>
                <w:sz w:val="19"/>
              </w:rPr>
              <w:t>购建固定资产等支付现金／资产总计 × 100</w:t>
            </w:r>
          </w:p>
        </w:tc>
        <w:tc>
          <w:tcPr>
            <w:tcW w:type="dxa" w:w="2209"/>
          </w:tcPr>
          <w:p>
            <w:pPr>
              <w:jc w:val="center"/>
            </w:pPr>
            <w:r/>
            <w:r>
              <w:rPr>
                <w:rFonts w:ascii="宋体" w:hAnsi="宋体" w:eastAsia="宋体"/>
                <w:b w:val="0"/>
                <w:sz w:val="19"/>
              </w:rPr>
              <w:t>现金流量表</w:t>
            </w:r>
          </w:p>
        </w:tc>
      </w:tr>
      <w:tr>
        <w:tc>
          <w:tcPr>
            <w:tcW w:type="dxa" w:w="2209"/>
          </w:tcPr>
          <w:p>
            <w:pPr>
              <w:jc w:val="center"/>
            </w:pPr>
            <w:r/>
            <w:r>
              <w:rPr>
                <w:rFonts w:ascii="宋体" w:hAnsi="宋体" w:eastAsia="宋体"/>
                <w:b w:val="0"/>
                <w:sz w:val="19"/>
              </w:rPr>
              <w:t>解释</w:t>
            </w:r>
          </w:p>
        </w:tc>
        <w:tc>
          <w:tcPr>
            <w:tcW w:type="dxa" w:w="2209"/>
          </w:tcPr>
          <w:p>
            <w:pPr>
              <w:jc w:val="center"/>
            </w:pPr>
            <w:r/>
            <w:r>
              <w:rPr>
                <w:rFonts w:ascii="宋体" w:hAnsi="宋体" w:eastAsia="宋体"/>
                <w:b w:val="0"/>
                <w:sz w:val="19"/>
              </w:rPr>
              <w:t>NTH_diff</w:t>
            </w:r>
          </w:p>
        </w:tc>
        <w:tc>
          <w:tcPr>
            <w:tcW w:type="dxa" w:w="2209"/>
          </w:tcPr>
          <w:p>
            <w:pPr>
              <w:jc w:val="center"/>
            </w:pPr>
            <w:r/>
            <w:r>
              <w:rPr>
                <w:rFonts w:ascii="宋体" w:hAnsi="宋体" w:eastAsia="宋体"/>
                <w:b w:val="0"/>
                <w:sz w:val="19"/>
              </w:rPr>
              <w:t>短期视域词频比 − 长期视域词频比（主测度）</w:t>
            </w:r>
          </w:p>
        </w:tc>
        <w:tc>
          <w:tcPr>
            <w:tcW w:type="dxa" w:w="2209"/>
          </w:tcPr>
          <w:p>
            <w:pPr>
              <w:jc w:val="center"/>
            </w:pPr>
            <w:r/>
            <w:r>
              <w:rPr>
                <w:rFonts w:ascii="宋体" w:hAnsi="宋体" w:eastAsia="宋体"/>
                <w:b w:val="0"/>
                <w:sz w:val="19"/>
              </w:rPr>
              <w:t>MD&amp;A 文本</w:t>
            </w:r>
          </w:p>
        </w:tc>
      </w:tr>
      <w:tr>
        <w:tc>
          <w:tcPr>
            <w:tcW w:type="dxa" w:w="2209"/>
          </w:tcPr>
          <w:p>
            <w:pPr>
              <w:jc w:val="center"/>
            </w:pPr>
            <w:r/>
            <w:r>
              <w:rPr>
                <w:rFonts w:ascii="宋体" w:hAnsi="宋体" w:eastAsia="宋体"/>
                <w:b w:val="0"/>
                <w:sz w:val="19"/>
              </w:rPr>
              <w:t>解释</w:t>
            </w:r>
          </w:p>
        </w:tc>
        <w:tc>
          <w:tcPr>
            <w:tcW w:type="dxa" w:w="2209"/>
          </w:tcPr>
          <w:p>
            <w:pPr>
              <w:jc w:val="center"/>
            </w:pPr>
            <w:r/>
            <w:r>
              <w:rPr>
                <w:rFonts w:ascii="宋体" w:hAnsi="宋体" w:eastAsia="宋体"/>
                <w:b w:val="0"/>
                <w:sz w:val="19"/>
              </w:rPr>
              <w:t>NTH_ratio</w:t>
            </w:r>
          </w:p>
        </w:tc>
        <w:tc>
          <w:tcPr>
            <w:tcW w:type="dxa" w:w="2209"/>
          </w:tcPr>
          <w:p>
            <w:pPr>
              <w:jc w:val="center"/>
            </w:pPr>
            <w:r/>
            <w:r>
              <w:rPr>
                <w:rFonts w:ascii="宋体" w:hAnsi="宋体" w:eastAsia="宋体"/>
                <w:b w:val="0"/>
                <w:sz w:val="19"/>
              </w:rPr>
              <w:t>(S−L)/(S+L)×100（比率式稳健性）</w:t>
            </w:r>
          </w:p>
        </w:tc>
        <w:tc>
          <w:tcPr>
            <w:tcW w:type="dxa" w:w="2209"/>
          </w:tcPr>
          <w:p>
            <w:pPr>
              <w:jc w:val="center"/>
            </w:pPr>
            <w:r/>
            <w:r>
              <w:rPr>
                <w:rFonts w:ascii="宋体" w:hAnsi="宋体" w:eastAsia="宋体"/>
                <w:b w:val="0"/>
                <w:sz w:val="19"/>
              </w:rPr>
              <w:t>MD&amp;A 文本</w:t>
            </w:r>
          </w:p>
        </w:tc>
      </w:tr>
      <w:tr>
        <w:tc>
          <w:tcPr>
            <w:tcW w:type="dxa" w:w="2209"/>
          </w:tcPr>
          <w:p>
            <w:pPr>
              <w:jc w:val="center"/>
            </w:pPr>
            <w:r/>
            <w:r>
              <w:rPr>
                <w:rFonts w:ascii="宋体" w:hAnsi="宋体" w:eastAsia="宋体"/>
                <w:b w:val="0"/>
                <w:sz w:val="19"/>
              </w:rPr>
              <w:t>解释</w:t>
            </w:r>
          </w:p>
        </w:tc>
        <w:tc>
          <w:tcPr>
            <w:tcW w:type="dxa" w:w="2209"/>
          </w:tcPr>
          <w:p>
            <w:pPr>
              <w:jc w:val="center"/>
            </w:pPr>
            <w:r/>
            <w:r>
              <w:rPr>
                <w:rFonts w:ascii="宋体" w:hAnsi="宋体" w:eastAsia="宋体"/>
                <w:b w:val="0"/>
                <w:sz w:val="19"/>
              </w:rPr>
              <w:t>Myopia_dict</w:t>
            </w:r>
          </w:p>
        </w:tc>
        <w:tc>
          <w:tcPr>
            <w:tcW w:type="dxa" w:w="2209"/>
          </w:tcPr>
          <w:p>
            <w:pPr>
              <w:jc w:val="center"/>
            </w:pPr>
            <w:r/>
            <w:r>
              <w:rPr>
                <w:rFonts w:ascii="宋体" w:hAnsi="宋体" w:eastAsia="宋体"/>
                <w:b w:val="0"/>
                <w:sz w:val="19"/>
              </w:rPr>
              <w:t>短期视域命中／有效词数 × 100（对照）</w:t>
            </w:r>
          </w:p>
        </w:tc>
        <w:tc>
          <w:tcPr>
            <w:tcW w:type="dxa" w:w="2209"/>
          </w:tcPr>
          <w:p>
            <w:pPr>
              <w:jc w:val="center"/>
            </w:pPr>
            <w:r/>
            <w:r>
              <w:rPr>
                <w:rFonts w:ascii="宋体" w:hAnsi="宋体" w:eastAsia="宋体"/>
                <w:b w:val="0"/>
                <w:sz w:val="19"/>
              </w:rPr>
              <w:t>MD&amp;A 文本</w:t>
            </w:r>
          </w:p>
        </w:tc>
      </w:tr>
      <w:tr>
        <w:tc>
          <w:tcPr>
            <w:tcW w:type="dxa" w:w="2209"/>
          </w:tcPr>
          <w:p>
            <w:pPr>
              <w:jc w:val="center"/>
            </w:pPr>
            <w:r/>
            <w:r>
              <w:rPr>
                <w:rFonts w:ascii="宋体" w:hAnsi="宋体" w:eastAsia="宋体"/>
                <w:b w:val="0"/>
                <w:sz w:val="19"/>
              </w:rPr>
              <w:t>解释</w:t>
            </w:r>
          </w:p>
        </w:tc>
        <w:tc>
          <w:tcPr>
            <w:tcW w:type="dxa" w:w="2209"/>
          </w:tcPr>
          <w:p>
            <w:pPr>
              <w:jc w:val="center"/>
            </w:pPr>
            <w:r/>
            <w:r>
              <w:rPr>
                <w:rFonts w:ascii="宋体" w:hAnsi="宋体" w:eastAsia="宋体"/>
                <w:b w:val="0"/>
                <w:sz w:val="19"/>
              </w:rPr>
              <w:t>EmbNet</w:t>
            </w:r>
          </w:p>
        </w:tc>
        <w:tc>
          <w:tcPr>
            <w:tcW w:type="dxa" w:w="2209"/>
          </w:tcPr>
          <w:p>
            <w:pPr>
              <w:jc w:val="center"/>
            </w:pPr>
            <w:r/>
            <w:r>
              <w:rPr>
                <w:rFonts w:ascii="宋体" w:hAnsi="宋体" w:eastAsia="宋体"/>
                <w:b w:val="0"/>
                <w:sz w:val="19"/>
              </w:rPr>
              <w:t>TF-IDF 加权净语义相似度（路线二）</w:t>
            </w:r>
          </w:p>
        </w:tc>
        <w:tc>
          <w:tcPr>
            <w:tcW w:type="dxa" w:w="2209"/>
          </w:tcPr>
          <w:p>
            <w:pPr>
              <w:jc w:val="center"/>
            </w:pPr>
            <w:r/>
            <w:r>
              <w:rPr>
                <w:rFonts w:ascii="宋体" w:hAnsi="宋体" w:eastAsia="宋体"/>
                <w:b w:val="0"/>
                <w:sz w:val="19"/>
              </w:rPr>
              <w:t>MD&amp;A 文本</w:t>
            </w:r>
          </w:p>
        </w:tc>
      </w:tr>
      <w:tr>
        <w:tc>
          <w:tcPr>
            <w:tcW w:type="dxa" w:w="2209"/>
          </w:tcPr>
          <w:p>
            <w:pPr>
              <w:jc w:val="center"/>
            </w:pPr>
            <w:r/>
            <w:r>
              <w:rPr>
                <w:rFonts w:ascii="宋体" w:hAnsi="宋体" w:eastAsia="宋体"/>
                <w:b w:val="0"/>
                <w:sz w:val="19"/>
              </w:rPr>
              <w:t>控制</w:t>
            </w:r>
          </w:p>
        </w:tc>
        <w:tc>
          <w:tcPr>
            <w:tcW w:type="dxa" w:w="2209"/>
          </w:tcPr>
          <w:p>
            <w:pPr>
              <w:jc w:val="center"/>
            </w:pPr>
            <w:r/>
            <w:r>
              <w:rPr>
                <w:rFonts w:ascii="宋体" w:hAnsi="宋体" w:eastAsia="宋体"/>
                <w:b w:val="0"/>
                <w:sz w:val="19"/>
              </w:rPr>
              <w:t>Size</w:t>
            </w:r>
          </w:p>
        </w:tc>
        <w:tc>
          <w:tcPr>
            <w:tcW w:type="dxa" w:w="2209"/>
          </w:tcPr>
          <w:p>
            <w:pPr>
              <w:jc w:val="center"/>
            </w:pPr>
            <w:r/>
            <w:r>
              <w:rPr>
                <w:rFonts w:ascii="宋体" w:hAnsi="宋体" w:eastAsia="宋体"/>
                <w:b w:val="0"/>
                <w:sz w:val="19"/>
              </w:rPr>
              <w:t>ln(资产总计)</w:t>
            </w:r>
          </w:p>
        </w:tc>
        <w:tc>
          <w:tcPr>
            <w:tcW w:type="dxa" w:w="2209"/>
          </w:tcPr>
          <w:p>
            <w:pPr>
              <w:jc w:val="center"/>
            </w:pPr>
            <w:r/>
            <w:r>
              <w:rPr>
                <w:rFonts w:ascii="宋体" w:hAnsi="宋体" w:eastAsia="宋体"/>
                <w:b w:val="0"/>
                <w:sz w:val="19"/>
              </w:rPr>
              <w:t>资产负债表</w:t>
            </w:r>
          </w:p>
        </w:tc>
      </w:tr>
      <w:tr>
        <w:tc>
          <w:tcPr>
            <w:tcW w:type="dxa" w:w="2209"/>
          </w:tcPr>
          <w:p>
            <w:pPr>
              <w:jc w:val="center"/>
            </w:pPr>
            <w:r/>
            <w:r>
              <w:rPr>
                <w:rFonts w:ascii="宋体" w:hAnsi="宋体" w:eastAsia="宋体"/>
                <w:b w:val="0"/>
                <w:sz w:val="19"/>
              </w:rPr>
              <w:t>控制</w:t>
            </w:r>
          </w:p>
        </w:tc>
        <w:tc>
          <w:tcPr>
            <w:tcW w:type="dxa" w:w="2209"/>
          </w:tcPr>
          <w:p>
            <w:pPr>
              <w:jc w:val="center"/>
            </w:pPr>
            <w:r/>
            <w:r>
              <w:rPr>
                <w:rFonts w:ascii="宋体" w:hAnsi="宋体" w:eastAsia="宋体"/>
                <w:b w:val="0"/>
                <w:sz w:val="19"/>
              </w:rPr>
              <w:t>Lev</w:t>
            </w:r>
          </w:p>
        </w:tc>
        <w:tc>
          <w:tcPr>
            <w:tcW w:type="dxa" w:w="2209"/>
          </w:tcPr>
          <w:p>
            <w:pPr>
              <w:jc w:val="center"/>
            </w:pPr>
            <w:r/>
            <w:r>
              <w:rPr>
                <w:rFonts w:ascii="宋体" w:hAnsi="宋体" w:eastAsia="宋体"/>
                <w:b w:val="0"/>
                <w:sz w:val="19"/>
              </w:rPr>
              <w:t>负债合计／资产总计</w:t>
            </w:r>
          </w:p>
        </w:tc>
        <w:tc>
          <w:tcPr>
            <w:tcW w:type="dxa" w:w="2209"/>
          </w:tcPr>
          <w:p>
            <w:pPr>
              <w:jc w:val="center"/>
            </w:pPr>
            <w:r/>
            <w:r>
              <w:rPr>
                <w:rFonts w:ascii="宋体" w:hAnsi="宋体" w:eastAsia="宋体"/>
                <w:b w:val="0"/>
                <w:sz w:val="19"/>
              </w:rPr>
              <w:t>资产负债表</w:t>
            </w:r>
          </w:p>
        </w:tc>
      </w:tr>
      <w:tr>
        <w:tc>
          <w:tcPr>
            <w:tcW w:type="dxa" w:w="2209"/>
          </w:tcPr>
          <w:p>
            <w:pPr>
              <w:jc w:val="center"/>
            </w:pPr>
            <w:r/>
            <w:r>
              <w:rPr>
                <w:rFonts w:ascii="宋体" w:hAnsi="宋体" w:eastAsia="宋体"/>
                <w:b w:val="0"/>
                <w:sz w:val="19"/>
              </w:rPr>
              <w:t>控制</w:t>
            </w:r>
          </w:p>
        </w:tc>
        <w:tc>
          <w:tcPr>
            <w:tcW w:type="dxa" w:w="2209"/>
          </w:tcPr>
          <w:p>
            <w:pPr>
              <w:jc w:val="center"/>
            </w:pPr>
            <w:r/>
            <w:r>
              <w:rPr>
                <w:rFonts w:ascii="宋体" w:hAnsi="宋体" w:eastAsia="宋体"/>
                <w:b w:val="0"/>
                <w:sz w:val="19"/>
              </w:rPr>
              <w:t>ROA</w:t>
            </w:r>
          </w:p>
        </w:tc>
        <w:tc>
          <w:tcPr>
            <w:tcW w:type="dxa" w:w="2209"/>
          </w:tcPr>
          <w:p>
            <w:pPr>
              <w:jc w:val="center"/>
            </w:pPr>
            <w:r/>
            <w:r>
              <w:rPr>
                <w:rFonts w:ascii="宋体" w:hAnsi="宋体" w:eastAsia="宋体"/>
                <w:b w:val="0"/>
                <w:sz w:val="19"/>
              </w:rPr>
              <w:t>净利润／资产总计 × 100</w:t>
            </w:r>
          </w:p>
        </w:tc>
        <w:tc>
          <w:tcPr>
            <w:tcW w:type="dxa" w:w="2209"/>
          </w:tcPr>
          <w:p>
            <w:pPr>
              <w:jc w:val="center"/>
            </w:pPr>
            <w:r/>
            <w:r>
              <w:rPr>
                <w:rFonts w:ascii="宋体" w:hAnsi="宋体" w:eastAsia="宋体"/>
                <w:b w:val="0"/>
                <w:sz w:val="19"/>
              </w:rPr>
              <w:t>利润表</w:t>
            </w:r>
          </w:p>
        </w:tc>
      </w:tr>
      <w:tr>
        <w:tc>
          <w:tcPr>
            <w:tcW w:type="dxa" w:w="2209"/>
          </w:tcPr>
          <w:p>
            <w:pPr>
              <w:jc w:val="center"/>
            </w:pPr>
            <w:r/>
            <w:r>
              <w:rPr>
                <w:rFonts w:ascii="宋体" w:hAnsi="宋体" w:eastAsia="宋体"/>
                <w:b w:val="0"/>
                <w:sz w:val="19"/>
              </w:rPr>
              <w:t>控制</w:t>
            </w:r>
          </w:p>
        </w:tc>
        <w:tc>
          <w:tcPr>
            <w:tcW w:type="dxa" w:w="2209"/>
          </w:tcPr>
          <w:p>
            <w:pPr>
              <w:jc w:val="center"/>
            </w:pPr>
            <w:r/>
            <w:r>
              <w:rPr>
                <w:rFonts w:ascii="宋体" w:hAnsi="宋体" w:eastAsia="宋体"/>
                <w:b w:val="0"/>
                <w:sz w:val="19"/>
              </w:rPr>
              <w:t>Growth</w:t>
            </w:r>
          </w:p>
        </w:tc>
        <w:tc>
          <w:tcPr>
            <w:tcW w:type="dxa" w:w="2209"/>
          </w:tcPr>
          <w:p>
            <w:pPr>
              <w:jc w:val="center"/>
            </w:pPr>
            <w:r/>
            <w:r>
              <w:rPr>
                <w:rFonts w:ascii="宋体" w:hAnsi="宋体" w:eastAsia="宋体"/>
                <w:b w:val="0"/>
                <w:sz w:val="19"/>
              </w:rPr>
              <w:t>营业收入同比增长率 × 100</w:t>
            </w:r>
          </w:p>
        </w:tc>
        <w:tc>
          <w:tcPr>
            <w:tcW w:type="dxa" w:w="2209"/>
          </w:tcPr>
          <w:p>
            <w:pPr>
              <w:jc w:val="center"/>
            </w:pPr>
            <w:r/>
            <w:r>
              <w:rPr>
                <w:rFonts w:ascii="宋体" w:hAnsi="宋体" w:eastAsia="宋体"/>
                <w:b w:val="0"/>
                <w:sz w:val="19"/>
              </w:rPr>
              <w:t>利润表</w:t>
            </w:r>
          </w:p>
        </w:tc>
      </w:tr>
      <w:tr>
        <w:tc>
          <w:tcPr>
            <w:tcW w:type="dxa" w:w="2209"/>
          </w:tcPr>
          <w:p>
            <w:pPr>
              <w:jc w:val="center"/>
            </w:pPr>
            <w:r/>
            <w:r>
              <w:rPr>
                <w:rFonts w:ascii="宋体" w:hAnsi="宋体" w:eastAsia="宋体"/>
                <w:b w:val="0"/>
                <w:sz w:val="19"/>
              </w:rPr>
              <w:t>控制</w:t>
            </w:r>
          </w:p>
        </w:tc>
        <w:tc>
          <w:tcPr>
            <w:tcW w:type="dxa" w:w="2209"/>
          </w:tcPr>
          <w:p>
            <w:pPr>
              <w:jc w:val="center"/>
            </w:pPr>
            <w:r/>
            <w:r>
              <w:rPr>
                <w:rFonts w:ascii="宋体" w:hAnsi="宋体" w:eastAsia="宋体"/>
                <w:b w:val="0"/>
                <w:sz w:val="19"/>
              </w:rPr>
              <w:t>Age</w:t>
            </w:r>
          </w:p>
        </w:tc>
        <w:tc>
          <w:tcPr>
            <w:tcW w:type="dxa" w:w="2209"/>
          </w:tcPr>
          <w:p>
            <w:pPr>
              <w:jc w:val="center"/>
            </w:pPr>
            <w:r/>
            <w:r>
              <w:rPr>
                <w:rFonts w:ascii="宋体" w:hAnsi="宋体" w:eastAsia="宋体"/>
                <w:b w:val="0"/>
                <w:sz w:val="19"/>
              </w:rPr>
              <w:t>ln(1 + 上市年数)</w:t>
            </w:r>
          </w:p>
        </w:tc>
        <w:tc>
          <w:tcPr>
            <w:tcW w:type="dxa" w:w="2209"/>
          </w:tcPr>
          <w:p>
            <w:pPr>
              <w:jc w:val="center"/>
            </w:pPr>
            <w:r/>
            <w:r>
              <w:rPr>
                <w:rFonts w:ascii="宋体" w:hAnsi="宋体" w:eastAsia="宋体"/>
                <w:b w:val="0"/>
                <w:sz w:val="19"/>
              </w:rPr>
              <w:t>公司概况</w:t>
            </w:r>
          </w:p>
        </w:tc>
      </w:tr>
      <w:tr>
        <w:tc>
          <w:tcPr>
            <w:tcW w:type="dxa" w:w="2209"/>
          </w:tcPr>
          <w:p>
            <w:pPr>
              <w:jc w:val="center"/>
            </w:pPr>
            <w:r/>
            <w:r>
              <w:rPr>
                <w:rFonts w:ascii="宋体" w:hAnsi="宋体" w:eastAsia="宋体"/>
                <w:b w:val="0"/>
                <w:sz w:val="19"/>
              </w:rPr>
              <w:t>控制</w:t>
            </w:r>
          </w:p>
        </w:tc>
        <w:tc>
          <w:tcPr>
            <w:tcW w:type="dxa" w:w="2209"/>
          </w:tcPr>
          <w:p>
            <w:pPr>
              <w:jc w:val="center"/>
            </w:pPr>
            <w:r/>
            <w:r>
              <w:rPr>
                <w:rFonts w:ascii="宋体" w:hAnsi="宋体" w:eastAsia="宋体"/>
                <w:b w:val="0"/>
                <w:sz w:val="19"/>
              </w:rPr>
              <w:t>LnLen</w:t>
            </w:r>
          </w:p>
        </w:tc>
        <w:tc>
          <w:tcPr>
            <w:tcW w:type="dxa" w:w="2209"/>
          </w:tcPr>
          <w:p>
            <w:pPr>
              <w:jc w:val="center"/>
            </w:pPr>
            <w:r/>
            <w:r>
              <w:rPr>
                <w:rFonts w:ascii="宋体" w:hAnsi="宋体" w:eastAsia="宋体"/>
                <w:b w:val="0"/>
                <w:sz w:val="19"/>
              </w:rPr>
              <w:t>ln(有效词数)，控制披露篇幅</w:t>
            </w:r>
          </w:p>
        </w:tc>
        <w:tc>
          <w:tcPr>
            <w:tcW w:type="dxa" w:w="2209"/>
          </w:tcPr>
          <w:p>
            <w:pPr>
              <w:jc w:val="center"/>
            </w:pPr>
            <w:r/>
            <w:r>
              <w:rPr>
                <w:rFonts w:ascii="宋体" w:hAnsi="宋体" w:eastAsia="宋体"/>
                <w:b w:val="0"/>
                <w:sz w:val="19"/>
              </w:rPr>
              <w:t>MD&amp;A 文本</w:t>
            </w:r>
          </w:p>
        </w:tc>
      </w:tr>
    </w:tbl>
    <w:p/>
    <w:p>
      <w:pPr>
        <w:spacing w:line="360" w:lineRule="auto" w:after="120"/>
        <w:ind w:firstLine="480"/>
      </w:pPr>
      <w:r>
        <w:rPr>
          <w:rFonts w:ascii="宋体" w:hAnsi="宋体" w:eastAsia="宋体"/>
          <w:b w:val="0"/>
          <w:sz w:val="24"/>
        </w:rPr>
        <w:t xml:space="preserve">所有连续变量在 1%/99% 分位缩尾。为避免"用 t 期文本解释 t 期结果"的时间错位，主回归使用 </w:t>
      </w:r>
      <w:r>
        <w:rPr>
          <w:rFonts w:ascii="宋体" w:hAnsi="宋体" w:eastAsia="宋体"/>
          <w:b/>
          <w:sz w:val="24"/>
        </w:rPr>
        <w:t>t+1 期被解释变量</w:t>
      </w:r>
      <w:r>
        <w:rPr>
          <w:rFonts w:ascii="宋体" w:hAnsi="宋体" w:eastAsia="宋体"/>
          <w:b w:val="0"/>
          <w:sz w:val="24"/>
        </w:rPr>
        <w:t>。</w:t>
      </w:r>
    </w:p>
    <w:p>
      <w:pPr>
        <w:spacing w:before="280" w:after="160"/>
        <w:jc w:val="center"/>
      </w:pPr>
      <w:r>
        <w:rPr>
          <w:rFonts w:ascii="黑体" w:hAnsi="黑体" w:eastAsia="黑体"/>
          <w:b/>
          <w:sz w:val="32"/>
        </w:rPr>
        <w:t>4 研究设计</w:t>
      </w:r>
    </w:p>
    <w:p>
      <w:pPr>
        <w:spacing w:before="200"/>
      </w:pPr>
      <w:r>
        <w:rPr>
          <w:rFonts w:ascii="黑体" w:hAnsi="黑体" w:eastAsia="黑体"/>
          <w:b/>
          <w:sz w:val="28"/>
        </w:rPr>
        <w:t>4.1 模型设定与识别思路</w:t>
      </w:r>
    </w:p>
    <w:p>
      <w:pPr>
        <w:spacing w:line="360" w:lineRule="auto" w:after="120"/>
        <w:ind w:firstLine="480"/>
      </w:pPr>
      <w:r>
        <w:rPr>
          <w:rFonts w:ascii="宋体" w:hAnsi="宋体" w:eastAsia="宋体"/>
          <w:b w:val="0"/>
          <w:sz w:val="24"/>
        </w:rPr>
        <w:t>主模型设定为：</w:t>
      </w:r>
    </w:p>
    <w:p>
      <w:pPr>
        <w:jc w:val="center"/>
      </w:pPr>
      <w:r>
        <w:rPr>
          <w:rFonts w:ascii="Cambria Math" w:hAnsi="Cambria Math" w:eastAsia="Cambria Math"/>
          <w:b w:val="0"/>
          <w:sz w:val="22"/>
        </w:rPr>
        <w:t>RD_{i,t+1}=\beta_0+\beta_1 NTH_{i,t}+\gamma X_{i,t}+\lambda_{ind}+\mu_t+\varepsilon_{i,t}</w:t>
      </w:r>
    </w:p>
    <w:p>
      <w:pPr>
        <w:spacing w:line="360" w:lineRule="auto" w:after="120"/>
        <w:ind w:firstLine="480"/>
      </w:pPr>
      <w:r>
        <w:rPr>
          <w:rFonts w:ascii="宋体" w:hAnsi="宋体" w:eastAsia="宋体"/>
          <w:b w:val="0"/>
          <w:sz w:val="24"/>
        </w:rPr>
        <w:t>其中 $X$ 为控制变量向量（规模、杠杆、盈利、成长、上市年限、披露篇幅），$\lambda_{ind}$、$\mu_t$ 分别为行业与年份固定效应，标准误按企业聚类调整。依据理论预期，$\beta_1&lt;0$：净时间视野越偏短期，下一期研发投入强度越低。</w:t>
      </w:r>
    </w:p>
    <w:p>
      <w:pPr>
        <w:spacing w:line="360" w:lineRule="auto" w:after="120"/>
        <w:ind w:firstLine="480"/>
      </w:pPr>
      <w:r>
        <w:rPr>
          <w:rFonts w:ascii="宋体" w:hAnsi="宋体" w:eastAsia="宋体"/>
          <w:b w:val="0"/>
          <w:sz w:val="24"/>
        </w:rPr>
        <w:t>三项设定细节需要说明。</w:t>
      </w:r>
      <w:r>
        <w:rPr>
          <w:rFonts w:ascii="宋体" w:hAnsi="宋体" w:eastAsia="宋体"/>
          <w:b/>
          <w:sz w:val="24"/>
        </w:rPr>
        <w:t>第一，被解释变量前置一期。</w:t>
      </w:r>
      <w:r>
        <w:rPr>
          <w:rFonts w:ascii="宋体" w:hAnsi="宋体" w:eastAsia="宋体"/>
          <w:b w:val="0"/>
          <w:sz w:val="24"/>
        </w:rPr>
        <w:t xml:space="preserve"> 本文用第 t 期年报文本去解释第 t+1 期的研发投入，而非同期，目的是缓解"投入变化本身反过来影响管理层表述"这一互为因果问题；同时也符合实践中"年报在次年 4 月披露、对下一年度资源配置产生影响"的时间逻辑。本文另报告同期设定作为对照。</w:t>
      </w:r>
      <w:r>
        <w:rPr>
          <w:rFonts w:ascii="宋体" w:hAnsi="宋体" w:eastAsia="宋体"/>
          <w:b/>
          <w:sz w:val="24"/>
        </w:rPr>
        <w:t>第二，必须控制披露篇幅。</w:t>
      </w:r>
      <w:r>
        <w:rPr>
          <w:rFonts w:ascii="宋体" w:hAnsi="宋体" w:eastAsia="宋体"/>
          <w:b w:val="0"/>
          <w:sz w:val="24"/>
        </w:rPr>
        <w:t xml:space="preserve"> 如前所述，未除分母的词频天然随篇幅增长，而篇幅又与公司复杂度、行业属性相关，若不控制会得到方向相反的虚假结论。</w:t>
      </w:r>
      <w:r>
        <w:rPr>
          <w:rFonts w:ascii="宋体" w:hAnsi="宋体" w:eastAsia="宋体"/>
          <w:b/>
          <w:sz w:val="24"/>
        </w:rPr>
        <w:t>第三，固定效应的作用不是"让结果好看"，而是识别策略的核心。</w:t>
      </w:r>
      <w:r>
        <w:rPr>
          <w:rFonts w:ascii="宋体" w:hAnsi="宋体" w:eastAsia="宋体"/>
          <w:b w:val="0"/>
          <w:sz w:val="24"/>
        </w:rPr>
        <w:t xml:space="preserve"> 行业固定效应回答的是"在同一行业内，说得更短期的企业是否投入更少"；企业固定效应进一步回答"同一家企业在自己说得更短期的那些年份，投入是否更少"。恰恰是这两个设定，揭穿了本文一开始看到的截面相关。</w:t>
      </w:r>
    </w:p>
    <w:p>
      <w:pPr>
        <w:spacing w:before="200"/>
      </w:pPr>
      <w:r>
        <w:rPr>
          <w:rFonts w:ascii="黑体" w:hAnsi="黑体" w:eastAsia="黑体"/>
          <w:b/>
          <w:sz w:val="28"/>
        </w:rPr>
        <w:t>4.2 识别局限</w:t>
      </w:r>
    </w:p>
    <w:p>
      <w:pPr>
        <w:spacing w:line="360" w:lineRule="auto" w:after="120"/>
        <w:ind w:firstLine="480"/>
      </w:pPr>
      <w:r>
        <w:rPr>
          <w:rFonts w:ascii="宋体" w:hAnsi="宋体" w:eastAsia="宋体"/>
          <w:b w:val="0"/>
          <w:sz w:val="24"/>
        </w:rPr>
        <w:t>本文明确不主张因果解释，理由有三：其一，递归关系仅有一期滞后，无法排除长期遗漏变量的共同驱动；其二，64 家公司的样本量在加入企业固定效应后组内变异有限，统计功效不足；其三，文本测度本身存在测量误差，在固定效应模型中会被放大（attenuation bias）。</w:t>
      </w:r>
    </w:p>
    <w:p>
      <w:pPr>
        <w:spacing w:before="280" w:after="160"/>
        <w:jc w:val="center"/>
      </w:pPr>
      <w:r>
        <w:rPr>
          <w:rFonts w:ascii="黑体" w:hAnsi="黑体" w:eastAsia="黑体"/>
          <w:b/>
          <w:sz w:val="32"/>
        </w:rPr>
        <w:t>5 信效度检验与实证结果</w:t>
      </w:r>
    </w:p>
    <w:p>
      <w:pPr>
        <w:spacing w:before="200"/>
      </w:pPr>
      <w:r>
        <w:rPr>
          <w:rFonts w:ascii="黑体" w:hAnsi="黑体" w:eastAsia="黑体"/>
          <w:b/>
          <w:sz w:val="28"/>
        </w:rPr>
        <w:t>5.1 信度检验</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pPr>
              <w:jc w:val="center"/>
            </w:pPr>
            <w:r/>
            <w:r>
              <w:rPr>
                <w:rFonts w:ascii="宋体" w:hAnsi="宋体" w:eastAsia="宋体"/>
                <w:b/>
                <w:sz w:val="19"/>
              </w:rPr>
              <w:t>指标</w:t>
            </w:r>
          </w:p>
        </w:tc>
        <w:tc>
          <w:tcPr>
            <w:tcW w:type="dxa" w:w="2209"/>
          </w:tcPr>
          <w:p>
            <w:pPr>
              <w:jc w:val="center"/>
            </w:pPr>
            <w:r/>
            <w:r>
              <w:rPr>
                <w:rFonts w:ascii="宋体" w:hAnsi="宋体" w:eastAsia="宋体"/>
                <w:b/>
                <w:sz w:val="19"/>
              </w:rPr>
              <w:t>取值</w:t>
            </w:r>
          </w:p>
        </w:tc>
        <w:tc>
          <w:tcPr>
            <w:tcW w:type="dxa" w:w="2209"/>
          </w:tcPr>
          <w:p>
            <w:pPr>
              <w:jc w:val="center"/>
            </w:pPr>
            <w:r/>
            <w:r>
              <w:rPr>
                <w:rFonts w:ascii="宋体" w:hAnsi="宋体" w:eastAsia="宋体"/>
                <w:b/>
                <w:sz w:val="19"/>
              </w:rPr>
              <w:t>参考标准</w:t>
            </w:r>
          </w:p>
        </w:tc>
        <w:tc>
          <w:tcPr>
            <w:tcW w:type="dxa" w:w="2209"/>
          </w:tcPr>
          <w:p>
            <w:pPr>
              <w:jc w:val="center"/>
            </w:pPr>
            <w:r/>
            <w:r>
              <w:rPr>
                <w:rFonts w:ascii="宋体" w:hAnsi="宋体" w:eastAsia="宋体"/>
                <w:b/>
                <w:sz w:val="19"/>
              </w:rPr>
              <w:t>判定</w:t>
            </w:r>
          </w:p>
        </w:tc>
      </w:tr>
      <w:tr>
        <w:tc>
          <w:tcPr>
            <w:tcW w:type="dxa" w:w="2209"/>
          </w:tcPr>
          <w:p>
            <w:pPr>
              <w:jc w:val="center"/>
            </w:pPr>
            <w:r/>
            <w:r>
              <w:rPr>
                <w:rFonts w:ascii="宋体" w:hAnsi="宋体" w:eastAsia="宋体"/>
                <w:b w:val="0"/>
                <w:sz w:val="19"/>
              </w:rPr>
              <w:t>Cronbach's α（短视词典四维侧面）</w:t>
            </w:r>
          </w:p>
        </w:tc>
        <w:tc>
          <w:tcPr>
            <w:tcW w:type="dxa" w:w="2209"/>
          </w:tcPr>
          <w:p>
            <w:pPr>
              <w:jc w:val="center"/>
            </w:pPr>
            <w:r/>
            <w:r>
              <w:rPr>
                <w:rFonts w:ascii="宋体" w:hAnsi="宋体" w:eastAsia="宋体"/>
                <w:b w:val="0"/>
                <w:sz w:val="19"/>
              </w:rPr>
              <w:t>0.0775</w:t>
            </w:r>
          </w:p>
        </w:tc>
        <w:tc>
          <w:tcPr>
            <w:tcW w:type="dxa" w:w="2209"/>
          </w:tcPr>
          <w:p>
            <w:pPr>
              <w:jc w:val="center"/>
            </w:pPr>
            <w:r/>
            <w:r>
              <w:rPr>
                <w:rFonts w:ascii="宋体" w:hAnsi="宋体" w:eastAsia="宋体"/>
                <w:b w:val="0"/>
                <w:sz w:val="19"/>
              </w:rPr>
              <w:t>&gt; 0.60</w:t>
            </w:r>
          </w:p>
        </w:tc>
        <w:tc>
          <w:tcPr>
            <w:tcW w:type="dxa" w:w="2209"/>
          </w:tcPr>
          <w:p>
            <w:pPr>
              <w:jc w:val="center"/>
            </w:pPr>
            <w:r/>
            <w:r>
              <w:rPr>
                <w:rFonts w:ascii="宋体" w:hAnsi="宋体" w:eastAsia="宋体"/>
                <w:b w:val="0"/>
                <w:sz w:val="19"/>
              </w:rPr>
              <w:t>未通过</w:t>
            </w:r>
          </w:p>
        </w:tc>
      </w:tr>
      <w:tr>
        <w:tc>
          <w:tcPr>
            <w:tcW w:type="dxa" w:w="2209"/>
          </w:tcPr>
          <w:p>
            <w:pPr>
              <w:jc w:val="center"/>
            </w:pPr>
            <w:r/>
            <w:r>
              <w:rPr>
                <w:rFonts w:ascii="宋体" w:hAnsi="宋体" w:eastAsia="宋体"/>
                <w:b w:val="0"/>
                <w:sz w:val="19"/>
              </w:rPr>
              <w:t>折半相关系数 r</w:t>
            </w:r>
          </w:p>
        </w:tc>
        <w:tc>
          <w:tcPr>
            <w:tcW w:type="dxa" w:w="2209"/>
          </w:tcPr>
          <w:p>
            <w:pPr>
              <w:jc w:val="center"/>
            </w:pPr>
            <w:r/>
            <w:r>
              <w:rPr>
                <w:rFonts w:ascii="宋体" w:hAnsi="宋体" w:eastAsia="宋体"/>
                <w:b w:val="0"/>
                <w:sz w:val="19"/>
              </w:rPr>
              <w:t>0.0542</w:t>
            </w:r>
          </w:p>
        </w:tc>
        <w:tc>
          <w:tcPr>
            <w:tcW w:type="dxa" w:w="2209"/>
          </w:tcPr>
          <w:p>
            <w:pPr>
              <w:jc w:val="center"/>
            </w:pPr>
            <w:r/>
            <w:r>
              <w:rPr>
                <w:rFonts w:ascii="宋体" w:hAnsi="宋体" w:eastAsia="宋体"/>
                <w:b w:val="0"/>
                <w:sz w:val="19"/>
              </w:rPr>
              <w:t>越高越好</w:t>
            </w:r>
          </w:p>
        </w:tc>
        <w:tc>
          <w:tcPr>
            <w:tcW w:type="dxa" w:w="2209"/>
          </w:tcPr>
          <w:p>
            <w:pPr>
              <w:jc w:val="center"/>
            </w:pPr>
            <w:r/>
            <w:r>
              <w:rPr>
                <w:rFonts w:ascii="宋体" w:hAnsi="宋体" w:eastAsia="宋体"/>
                <w:b w:val="0"/>
                <w:sz w:val="19"/>
              </w:rPr>
              <w:t>未通过</w:t>
            </w:r>
          </w:p>
        </w:tc>
      </w:tr>
      <w:tr>
        <w:tc>
          <w:tcPr>
            <w:tcW w:type="dxa" w:w="2209"/>
          </w:tcPr>
          <w:p>
            <w:pPr>
              <w:jc w:val="center"/>
            </w:pPr>
            <w:r/>
            <w:r>
              <w:rPr>
                <w:rFonts w:ascii="宋体" w:hAnsi="宋体" w:eastAsia="宋体"/>
                <w:b w:val="0"/>
                <w:sz w:val="19"/>
              </w:rPr>
              <w:t>Spearman-Brown 折半信度</w:t>
            </w:r>
          </w:p>
        </w:tc>
        <w:tc>
          <w:tcPr>
            <w:tcW w:type="dxa" w:w="2209"/>
          </w:tcPr>
          <w:p>
            <w:pPr>
              <w:jc w:val="center"/>
            </w:pPr>
            <w:r/>
            <w:r>
              <w:rPr>
                <w:rFonts w:ascii="宋体" w:hAnsi="宋体" w:eastAsia="宋体"/>
                <w:b w:val="0"/>
                <w:sz w:val="19"/>
              </w:rPr>
              <w:t>0.1029</w:t>
            </w:r>
          </w:p>
        </w:tc>
        <w:tc>
          <w:tcPr>
            <w:tcW w:type="dxa" w:w="2209"/>
          </w:tcPr>
          <w:p>
            <w:pPr>
              <w:jc w:val="center"/>
            </w:pPr>
            <w:r/>
            <w:r>
              <w:rPr>
                <w:rFonts w:ascii="宋体" w:hAnsi="宋体" w:eastAsia="宋体"/>
                <w:b w:val="0"/>
                <w:sz w:val="19"/>
              </w:rPr>
              <w:t>&gt; 0.60</w:t>
            </w:r>
          </w:p>
        </w:tc>
        <w:tc>
          <w:tcPr>
            <w:tcW w:type="dxa" w:w="2209"/>
          </w:tcPr>
          <w:p>
            <w:pPr>
              <w:jc w:val="center"/>
            </w:pPr>
            <w:r/>
            <w:r>
              <w:rPr>
                <w:rFonts w:ascii="宋体" w:hAnsi="宋体" w:eastAsia="宋体"/>
                <w:b w:val="0"/>
                <w:sz w:val="19"/>
              </w:rPr>
              <w:t>未通过</w:t>
            </w:r>
          </w:p>
        </w:tc>
      </w:tr>
      <w:tr>
        <w:tc>
          <w:tcPr>
            <w:tcW w:type="dxa" w:w="2209"/>
          </w:tcPr>
          <w:p>
            <w:pPr>
              <w:jc w:val="center"/>
            </w:pPr>
            <w:r/>
            <w:r>
              <w:rPr>
                <w:rFonts w:ascii="宋体" w:hAnsi="宋体" w:eastAsia="宋体"/>
                <w:b w:val="0"/>
                <w:sz w:val="19"/>
              </w:rPr>
              <w:t>替代形式相关（换分母为全部词数）</w:t>
            </w:r>
          </w:p>
        </w:tc>
        <w:tc>
          <w:tcPr>
            <w:tcW w:type="dxa" w:w="2209"/>
          </w:tcPr>
          <w:p>
            <w:pPr>
              <w:jc w:val="center"/>
            </w:pPr>
            <w:r/>
            <w:r>
              <w:rPr>
                <w:rFonts w:ascii="宋体" w:hAnsi="宋体" w:eastAsia="宋体"/>
                <w:b w:val="0"/>
                <w:sz w:val="19"/>
              </w:rPr>
              <w:t>0.9995</w:t>
            </w:r>
          </w:p>
        </w:tc>
        <w:tc>
          <w:tcPr>
            <w:tcW w:type="dxa" w:w="2209"/>
          </w:tcPr>
          <w:p>
            <w:pPr>
              <w:jc w:val="center"/>
            </w:pPr>
            <w:r/>
            <w:r>
              <w:rPr>
                <w:rFonts w:ascii="宋体" w:hAnsi="宋体" w:eastAsia="宋体"/>
                <w:b w:val="0"/>
                <w:sz w:val="19"/>
              </w:rPr>
              <w:t>高度正相关</w:t>
            </w:r>
          </w:p>
        </w:tc>
        <w:tc>
          <w:tcPr>
            <w:tcW w:type="dxa" w:w="2209"/>
          </w:tcPr>
          <w:p>
            <w:pPr>
              <w:jc w:val="center"/>
            </w:pPr>
            <w:r/>
            <w:r>
              <w:rPr>
                <w:rFonts w:ascii="宋体" w:hAnsi="宋体" w:eastAsia="宋体"/>
                <w:b w:val="0"/>
                <w:sz w:val="19"/>
              </w:rPr>
              <w:t>通过</w:t>
            </w:r>
          </w:p>
        </w:tc>
      </w:tr>
    </w:tbl>
    <w:p/>
    <w:p>
      <w:pPr>
        <w:spacing w:line="360" w:lineRule="auto" w:after="120"/>
        <w:ind w:firstLine="480"/>
      </w:pPr>
      <w:r>
        <w:rPr>
          <w:rFonts w:ascii="宋体" w:hAnsi="宋体" w:eastAsia="宋体"/>
          <w:b w:val="0"/>
          <w:sz w:val="24"/>
        </w:rPr>
        <w:t>短视四个语义侧面之间几乎互不相关，</w:t>
      </w:r>
      <w:r>
        <w:rPr>
          <w:rFonts w:ascii="宋体" w:hAnsi="宋体" w:eastAsia="宋体"/>
          <w:b/>
          <w:sz w:val="24"/>
        </w:rPr>
        <w:t>再次印证短视语在本土语料中过于稀疏、碎片化，不具备作为单一潜变量的内部一致性</w:t>
      </w:r>
      <w:r>
        <w:rPr>
          <w:rFonts w:ascii="宋体" w:hAnsi="宋体" w:eastAsia="宋体"/>
          <w:b w:val="0"/>
          <w:sz w:val="24"/>
        </w:rPr>
        <w:t>。这与 §3.3 的内容效度判读结论一致：不是词条选错了，而是"短视"这件事在本地年报文本里几乎不被说破。与此同时，替代形式相关高达 0.9995，说明</w:t>
      </w:r>
      <w:r>
        <w:rPr>
          <w:rFonts w:ascii="宋体" w:hAnsi="宋体" w:eastAsia="宋体"/>
          <w:b/>
          <w:sz w:val="24"/>
        </w:rPr>
        <w:t>计算口径本身是稳定的</w:t>
      </w:r>
      <w:r>
        <w:rPr>
          <w:rFonts w:ascii="宋体" w:hAnsi="宋体" w:eastAsia="宋体"/>
          <w:b w:val="0"/>
          <w:sz w:val="24"/>
        </w:rPr>
        <w:t>——失效的是语义，不是算术。</w:t>
      </w:r>
    </w:p>
    <w:p>
      <w:pPr>
        <w:spacing w:before="200"/>
      </w:pPr>
      <w:r>
        <w:rPr>
          <w:rFonts w:ascii="黑体" w:hAnsi="黑体" w:eastAsia="黑体"/>
          <w:b/>
          <w:sz w:val="28"/>
        </w:rPr>
        <w:t>5.2 内容效度</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jc w:val="center"/>
            </w:pPr>
            <w:r/>
            <w:r>
              <w:rPr>
                <w:rFonts w:ascii="宋体" w:hAnsi="宋体" w:eastAsia="宋体"/>
                <w:b/>
                <w:sz w:val="19"/>
              </w:rPr>
              <w:t>词表</w:t>
            </w:r>
          </w:p>
        </w:tc>
        <w:tc>
          <w:tcPr>
            <w:tcW w:type="dxa" w:w="1768"/>
          </w:tcPr>
          <w:p>
            <w:pPr>
              <w:jc w:val="center"/>
            </w:pPr>
            <w:r/>
            <w:r>
              <w:rPr>
                <w:rFonts w:ascii="宋体" w:hAnsi="宋体" w:eastAsia="宋体"/>
                <w:b/>
                <w:sz w:val="19"/>
              </w:rPr>
              <w:t>判读样本</w:t>
            </w:r>
          </w:p>
        </w:tc>
        <w:tc>
          <w:tcPr>
            <w:tcW w:type="dxa" w:w="1768"/>
          </w:tcPr>
          <w:p>
            <w:pPr>
              <w:jc w:val="center"/>
            </w:pPr>
            <w:r/>
            <w:r>
              <w:rPr>
                <w:rFonts w:ascii="宋体" w:hAnsi="宋体" w:eastAsia="宋体"/>
                <w:b/>
                <w:sz w:val="19"/>
              </w:rPr>
              <w:t>严格口径精确率</w:t>
            </w:r>
          </w:p>
        </w:tc>
        <w:tc>
          <w:tcPr>
            <w:tcW w:type="dxa" w:w="1768"/>
          </w:tcPr>
          <w:p>
            <w:pPr>
              <w:jc w:val="center"/>
            </w:pPr>
            <w:r/>
            <w:r>
              <w:rPr>
                <w:rFonts w:ascii="宋体" w:hAnsi="宋体" w:eastAsia="宋体"/>
                <w:b/>
                <w:sz w:val="19"/>
              </w:rPr>
              <w:t>宽口径精确率</w:t>
            </w:r>
          </w:p>
        </w:tc>
        <w:tc>
          <w:tcPr>
            <w:tcW w:type="dxa" w:w="1768"/>
          </w:tcPr>
          <w:p>
            <w:pPr>
              <w:jc w:val="center"/>
            </w:pPr>
            <w:r/>
            <w:r>
              <w:rPr>
                <w:rFonts w:ascii="宋体" w:hAnsi="宋体" w:eastAsia="宋体"/>
                <w:b/>
                <w:sz w:val="19"/>
              </w:rPr>
              <w:t>全样本命中</w:t>
            </w:r>
          </w:p>
        </w:tc>
      </w:tr>
      <w:tr>
        <w:tc>
          <w:tcPr>
            <w:tcW w:type="dxa" w:w="1768"/>
          </w:tcPr>
          <w:p>
            <w:pPr>
              <w:jc w:val="center"/>
            </w:pPr>
            <w:r/>
            <w:r>
              <w:rPr>
                <w:rFonts w:ascii="宋体" w:hAnsi="宋体" w:eastAsia="宋体"/>
                <w:b w:val="0"/>
                <w:sz w:val="19"/>
              </w:rPr>
              <w:t>短视词典 v1.0（无语境约束）</w:t>
            </w:r>
          </w:p>
        </w:tc>
        <w:tc>
          <w:tcPr>
            <w:tcW w:type="dxa" w:w="1768"/>
          </w:tcPr>
          <w:p>
            <w:pPr>
              <w:jc w:val="center"/>
            </w:pPr>
            <w:r/>
            <w:r>
              <w:rPr>
                <w:rFonts w:ascii="宋体" w:hAnsi="宋体" w:eastAsia="宋体"/>
                <w:b w:val="0"/>
                <w:sz w:val="19"/>
              </w:rPr>
              <w:t>—</w:t>
            </w:r>
          </w:p>
        </w:tc>
        <w:tc>
          <w:tcPr>
            <w:tcW w:type="dxa" w:w="1768"/>
          </w:tcPr>
          <w:p>
            <w:pPr>
              <w:jc w:val="center"/>
            </w:pPr>
            <w:r/>
            <w:r>
              <w:rPr>
                <w:rFonts w:ascii="宋体" w:hAnsi="宋体" w:eastAsia="宋体"/>
                <w:b w:val="0"/>
                <w:sz w:val="19"/>
              </w:rPr>
              <w:t>—</w:t>
            </w:r>
          </w:p>
        </w:tc>
        <w:tc>
          <w:tcPr>
            <w:tcW w:type="dxa" w:w="1768"/>
          </w:tcPr>
          <w:p>
            <w:pPr>
              <w:jc w:val="center"/>
            </w:pPr>
            <w:r/>
            <w:r>
              <w:rPr>
                <w:rFonts w:ascii="宋体" w:hAnsi="宋体" w:eastAsia="宋体"/>
                <w:b w:val="0"/>
                <w:sz w:val="19"/>
              </w:rPr>
              <w:t>—</w:t>
            </w:r>
          </w:p>
        </w:tc>
        <w:tc>
          <w:tcPr>
            <w:tcW w:type="dxa" w:w="1768"/>
          </w:tcPr>
          <w:p>
            <w:pPr>
              <w:jc w:val="center"/>
            </w:pPr>
            <w:r/>
            <w:r>
              <w:rPr>
                <w:rFonts w:ascii="宋体" w:hAnsi="宋体" w:eastAsia="宋体"/>
                <w:b w:val="0"/>
                <w:sz w:val="19"/>
              </w:rPr>
              <w:t>1 880</w:t>
            </w:r>
          </w:p>
        </w:tc>
      </w:tr>
      <w:tr>
        <w:tc>
          <w:tcPr>
            <w:tcW w:type="dxa" w:w="1768"/>
          </w:tcPr>
          <w:p>
            <w:pPr>
              <w:jc w:val="center"/>
            </w:pPr>
            <w:r/>
            <w:r>
              <w:rPr>
                <w:rFonts w:ascii="宋体" w:hAnsi="宋体" w:eastAsia="宋体"/>
                <w:b w:val="0"/>
                <w:sz w:val="19"/>
              </w:rPr>
              <w:t>短视词典 v2.0（邻近剔除后）</w:t>
            </w:r>
          </w:p>
        </w:tc>
        <w:tc>
          <w:tcPr>
            <w:tcW w:type="dxa" w:w="1768"/>
          </w:tcPr>
          <w:p>
            <w:pPr>
              <w:jc w:val="center"/>
            </w:pPr>
            <w:r/>
            <w:r>
              <w:rPr>
                <w:rFonts w:ascii="宋体" w:hAnsi="宋体" w:eastAsia="宋体"/>
                <w:b w:val="0"/>
                <w:sz w:val="19"/>
              </w:rPr>
              <w:t>52</w:t>
            </w:r>
          </w:p>
        </w:tc>
        <w:tc>
          <w:tcPr>
            <w:tcW w:type="dxa" w:w="1768"/>
          </w:tcPr>
          <w:p>
            <w:pPr>
              <w:jc w:val="center"/>
            </w:pPr>
            <w:r/>
            <w:r>
              <w:rPr>
                <w:rFonts w:ascii="宋体" w:hAnsi="宋体" w:eastAsia="宋体"/>
                <w:b w:val="0"/>
                <w:sz w:val="19"/>
              </w:rPr>
              <w:t>5.77%</w:t>
            </w:r>
          </w:p>
        </w:tc>
        <w:tc>
          <w:tcPr>
            <w:tcW w:type="dxa" w:w="1768"/>
          </w:tcPr>
          <w:p>
            <w:pPr>
              <w:jc w:val="center"/>
            </w:pPr>
            <w:r/>
            <w:r>
              <w:rPr>
                <w:rFonts w:ascii="宋体" w:hAnsi="宋体" w:eastAsia="宋体"/>
                <w:b w:val="0"/>
                <w:sz w:val="19"/>
              </w:rPr>
              <w:t>23.08%</w:t>
            </w:r>
          </w:p>
        </w:tc>
        <w:tc>
          <w:tcPr>
            <w:tcW w:type="dxa" w:w="1768"/>
          </w:tcPr>
          <w:p>
            <w:pPr>
              <w:jc w:val="center"/>
            </w:pPr>
            <w:r/>
            <w:r>
              <w:rPr>
                <w:rFonts w:ascii="宋体" w:hAnsi="宋体" w:eastAsia="宋体"/>
                <w:b w:val="0"/>
                <w:sz w:val="19"/>
              </w:rPr>
              <w:t>328</w:t>
            </w:r>
          </w:p>
        </w:tc>
      </w:tr>
      <w:tr>
        <w:tc>
          <w:tcPr>
            <w:tcW w:type="dxa" w:w="1768"/>
          </w:tcPr>
          <w:p>
            <w:pPr>
              <w:jc w:val="center"/>
            </w:pPr>
            <w:r/>
            <w:r>
              <w:rPr>
                <w:rFonts w:ascii="宋体" w:hAnsi="宋体" w:eastAsia="宋体"/>
                <w:b w:val="0"/>
                <w:sz w:val="19"/>
              </w:rPr>
              <w:t>长期视域词典 v1.0</w:t>
            </w:r>
          </w:p>
        </w:tc>
        <w:tc>
          <w:tcPr>
            <w:tcW w:type="dxa" w:w="1768"/>
          </w:tcPr>
          <w:p>
            <w:pPr>
              <w:jc w:val="center"/>
            </w:pPr>
            <w:r/>
            <w:r>
              <w:rPr>
                <w:rFonts w:ascii="宋体" w:hAnsi="宋体" w:eastAsia="宋体"/>
                <w:b w:val="0"/>
                <w:sz w:val="19"/>
              </w:rPr>
              <w:t>32</w:t>
            </w:r>
          </w:p>
        </w:tc>
        <w:tc>
          <w:tcPr>
            <w:tcW w:type="dxa" w:w="1768"/>
          </w:tcPr>
          <w:p>
            <w:pPr>
              <w:jc w:val="center"/>
            </w:pPr>
            <w:r/>
            <w:r>
              <w:rPr>
                <w:rFonts w:ascii="宋体" w:hAnsi="宋体" w:eastAsia="宋体"/>
                <w:b w:val="0"/>
                <w:sz w:val="19"/>
              </w:rPr>
              <w:t>81.25%</w:t>
            </w:r>
          </w:p>
        </w:tc>
        <w:tc>
          <w:tcPr>
            <w:tcW w:type="dxa" w:w="1768"/>
          </w:tcPr>
          <w:p>
            <w:pPr>
              <w:jc w:val="center"/>
            </w:pPr>
            <w:r/>
            <w:r>
              <w:rPr>
                <w:rFonts w:ascii="宋体" w:hAnsi="宋体" w:eastAsia="宋体"/>
                <w:b w:val="0"/>
                <w:sz w:val="19"/>
              </w:rPr>
              <w:t>—</w:t>
            </w:r>
          </w:p>
        </w:tc>
        <w:tc>
          <w:tcPr>
            <w:tcW w:type="dxa" w:w="1768"/>
          </w:tcPr>
          <w:p>
            <w:pPr>
              <w:jc w:val="center"/>
            </w:pPr>
            <w:r/>
            <w:r>
              <w:rPr>
                <w:rFonts w:ascii="宋体" w:hAnsi="宋体" w:eastAsia="宋体"/>
                <w:b w:val="0"/>
                <w:sz w:val="19"/>
              </w:rPr>
              <w:t>3 163</w:t>
            </w:r>
          </w:p>
        </w:tc>
      </w:tr>
    </w:tbl>
    <w:p/>
    <w:p>
      <w:pPr>
        <w:spacing w:line="360" w:lineRule="auto" w:after="120"/>
        <w:ind w:firstLine="480"/>
      </w:pPr>
      <w:r>
        <w:rPr>
          <w:rFonts w:ascii="宋体" w:hAnsi="宋体" w:eastAsia="宋体"/>
          <w:b w:val="0"/>
          <w:sz w:val="24"/>
        </w:rPr>
        <w:t>结论：</w:t>
      </w:r>
      <w:r>
        <w:rPr>
          <w:rFonts w:ascii="宋体" w:hAnsi="宋体" w:eastAsia="宋体"/>
          <w:b/>
          <w:sz w:val="24"/>
        </w:rPr>
        <w:t>长期视域测量合格，短视视域测量不合格</w:t>
      </w:r>
      <w:r>
        <w:rPr>
          <w:rFonts w:ascii="宋体" w:hAnsi="宋体" w:eastAsia="宋体"/>
          <w:b w:val="0"/>
          <w:sz w:val="24"/>
        </w:rPr>
        <w:t>；这正是本文最终采用"净倾向"而非单纯短视词频的直接依据。</w:t>
      </w:r>
    </w:p>
    <w:p>
      <w:pPr>
        <w:spacing w:before="200"/>
      </w:pPr>
      <w:r>
        <w:rPr>
          <w:rFonts w:ascii="黑体" w:hAnsi="黑体" w:eastAsia="黑体"/>
          <w:b/>
          <w:sz w:val="28"/>
        </w:rPr>
        <w:t>5.3 聚合效度</w:t>
      </w:r>
    </w:p>
    <w:p>
      <w:pPr>
        <w:spacing w:line="360" w:lineRule="auto" w:after="120"/>
        <w:ind w:firstLine="480"/>
      </w:pPr>
      <w:r>
        <w:rPr>
          <w:rFonts w:ascii="宋体" w:hAnsi="宋体" w:eastAsia="宋体"/>
          <w:b w:val="0"/>
          <w:sz w:val="24"/>
        </w:rPr>
        <w:t>三条技术路线测度的 Pearson 相关矩阵（N = 442）：</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
              <w:rPr>
                <w:rFonts w:ascii="宋体" w:hAnsi="宋体" w:eastAsia="宋体"/>
                <w:b/>
                <w:sz w:val="19"/>
              </w:rPr>
            </w:r>
          </w:p>
        </w:tc>
        <w:tc>
          <w:tcPr>
            <w:tcW w:type="dxa" w:w="1473"/>
          </w:tcPr>
          <w:p>
            <w:pPr>
              <w:jc w:val="center"/>
            </w:pPr>
            <w:r/>
            <w:r>
              <w:rPr>
                <w:rFonts w:ascii="宋体" w:hAnsi="宋体" w:eastAsia="宋体"/>
                <w:b/>
                <w:sz w:val="19"/>
              </w:rPr>
              <w:t>Myopia_dict</w:t>
            </w:r>
          </w:p>
        </w:tc>
        <w:tc>
          <w:tcPr>
            <w:tcW w:type="dxa" w:w="1473"/>
          </w:tcPr>
          <w:p>
            <w:pPr>
              <w:jc w:val="center"/>
            </w:pPr>
            <w:r/>
            <w:r>
              <w:rPr>
                <w:rFonts w:ascii="宋体" w:hAnsi="宋体" w:eastAsia="宋体"/>
                <w:b/>
                <w:sz w:val="19"/>
              </w:rPr>
              <w:t>NTH_diff</w:t>
            </w:r>
          </w:p>
        </w:tc>
        <w:tc>
          <w:tcPr>
            <w:tcW w:type="dxa" w:w="1473"/>
          </w:tcPr>
          <w:p>
            <w:pPr>
              <w:jc w:val="center"/>
            </w:pPr>
            <w:r/>
            <w:r>
              <w:rPr>
                <w:rFonts w:ascii="宋体" w:hAnsi="宋体" w:eastAsia="宋体"/>
                <w:b/>
                <w:sz w:val="19"/>
              </w:rPr>
              <w:t>NTH_ratio</w:t>
            </w:r>
          </w:p>
        </w:tc>
        <w:tc>
          <w:tcPr>
            <w:tcW w:type="dxa" w:w="1473"/>
          </w:tcPr>
          <w:p>
            <w:pPr>
              <w:jc w:val="center"/>
            </w:pPr>
            <w:r/>
            <w:r>
              <w:rPr>
                <w:rFonts w:ascii="宋体" w:hAnsi="宋体" w:eastAsia="宋体"/>
                <w:b/>
                <w:sz w:val="19"/>
              </w:rPr>
              <w:t>EmbNet</w:t>
            </w:r>
          </w:p>
        </w:tc>
        <w:tc>
          <w:tcPr>
            <w:tcW w:type="dxa" w:w="1473"/>
          </w:tcPr>
          <w:p>
            <w:pPr>
              <w:jc w:val="center"/>
            </w:pPr>
            <w:r/>
            <w:r>
              <w:rPr>
                <w:rFonts w:ascii="宋体" w:hAnsi="宋体" w:eastAsia="宋体"/>
                <w:b/>
                <w:sz w:val="19"/>
              </w:rPr>
              <w:t>EmbShort</w:t>
            </w:r>
          </w:p>
        </w:tc>
      </w:tr>
      <w:tr>
        <w:tc>
          <w:tcPr>
            <w:tcW w:type="dxa" w:w="1473"/>
          </w:tcPr>
          <w:p>
            <w:pPr>
              <w:jc w:val="center"/>
            </w:pPr>
            <w:r/>
            <w:r>
              <w:rPr>
                <w:rFonts w:ascii="宋体" w:hAnsi="宋体" w:eastAsia="宋体"/>
                <w:b w:val="0"/>
                <w:sz w:val="19"/>
              </w:rPr>
              <w:t>NTH_diff</w:t>
            </w:r>
          </w:p>
        </w:tc>
        <w:tc>
          <w:tcPr>
            <w:tcW w:type="dxa" w:w="1473"/>
          </w:tcPr>
          <w:p>
            <w:pPr>
              <w:jc w:val="center"/>
            </w:pPr>
            <w:r/>
            <w:r>
              <w:rPr>
                <w:rFonts w:ascii="宋体" w:hAnsi="宋体" w:eastAsia="宋体"/>
                <w:b w:val="0"/>
                <w:sz w:val="19"/>
              </w:rPr>
              <w:t>0.319*</w:t>
            </w:r>
          </w:p>
        </w:tc>
        <w:tc>
          <w:tcPr>
            <w:tcW w:type="dxa" w:w="1473"/>
          </w:tcPr>
          <w:p>
            <w:pPr>
              <w:jc w:val="center"/>
            </w:pPr>
            <w:r/>
            <w:r>
              <w:rPr>
                <w:rFonts w:ascii="宋体" w:hAnsi="宋体" w:eastAsia="宋体"/>
                <w:b w:val="0"/>
                <w:sz w:val="19"/>
              </w:rPr>
              <w:t>1</w:t>
            </w:r>
          </w:p>
        </w:tc>
        <w:tc>
          <w:tcPr>
            <w:tcW w:type="dxa" w:w="1473"/>
          </w:tcPr>
          <w:p>
            <w:pPr>
              <w:jc w:val="center"/>
            </w:pPr>
            <w:r/>
            <w:r>
              <w:rPr>
                <w:rFonts w:ascii="宋体" w:hAnsi="宋体" w:eastAsia="宋体"/>
                <w:b w:val="0"/>
                <w:sz w:val="19"/>
              </w:rPr>
              <w:t>0.570*</w:t>
            </w:r>
          </w:p>
        </w:tc>
        <w:tc>
          <w:tcPr>
            <w:tcW w:type="dxa" w:w="1473"/>
          </w:tcPr>
          <w:p>
            <w:pPr>
              <w:jc w:val="center"/>
            </w:pPr>
            <w:r/>
            <w:r>
              <w:rPr>
                <w:rFonts w:ascii="宋体" w:hAnsi="宋体" w:eastAsia="宋体"/>
                <w:b w:val="0"/>
                <w:sz w:val="19"/>
              </w:rPr>
              <w:t>0.307*</w:t>
            </w:r>
          </w:p>
        </w:tc>
        <w:tc>
          <w:tcPr>
            <w:tcW w:type="dxa" w:w="1473"/>
          </w:tcPr>
          <w:p>
            <w:pPr>
              <w:jc w:val="center"/>
            </w:pPr>
            <w:r/>
            <w:r>
              <w:rPr>
                <w:rFonts w:ascii="宋体" w:hAnsi="宋体" w:eastAsia="宋体"/>
                <w:b w:val="0"/>
                <w:sz w:val="19"/>
              </w:rPr>
              <w:t>0.146</w:t>
            </w:r>
          </w:p>
        </w:tc>
      </w:tr>
      <w:tr>
        <w:tc>
          <w:tcPr>
            <w:tcW w:type="dxa" w:w="1473"/>
          </w:tcPr>
          <w:p>
            <w:pPr>
              <w:jc w:val="center"/>
            </w:pPr>
            <w:r/>
            <w:r>
              <w:rPr>
                <w:rFonts w:ascii="宋体" w:hAnsi="宋体" w:eastAsia="宋体"/>
                <w:b w:val="0"/>
                <w:sz w:val="19"/>
              </w:rPr>
              <w:t>EmbNet</w:t>
            </w:r>
          </w:p>
        </w:tc>
        <w:tc>
          <w:tcPr>
            <w:tcW w:type="dxa" w:w="1473"/>
          </w:tcPr>
          <w:p>
            <w:pPr>
              <w:jc w:val="center"/>
            </w:pPr>
            <w:r/>
            <w:r>
              <w:rPr>
                <w:rFonts w:ascii="宋体" w:hAnsi="宋体" w:eastAsia="宋体"/>
                <w:b w:val="0"/>
                <w:sz w:val="19"/>
              </w:rPr>
              <w:t>0.137</w:t>
            </w:r>
          </w:p>
        </w:tc>
        <w:tc>
          <w:tcPr>
            <w:tcW w:type="dxa" w:w="1473"/>
          </w:tcPr>
          <w:p>
            <w:pPr>
              <w:jc w:val="center"/>
            </w:pPr>
            <w:r/>
            <w:r>
              <w:rPr>
                <w:rFonts w:ascii="宋体" w:hAnsi="宋体" w:eastAsia="宋体"/>
                <w:b w:val="0"/>
                <w:sz w:val="19"/>
              </w:rPr>
              <w:t>0.307*</w:t>
            </w:r>
          </w:p>
        </w:tc>
        <w:tc>
          <w:tcPr>
            <w:tcW w:type="dxa" w:w="1473"/>
          </w:tcPr>
          <w:p>
            <w:pPr>
              <w:jc w:val="center"/>
            </w:pPr>
            <w:r/>
            <w:r>
              <w:rPr>
                <w:rFonts w:ascii="宋体" w:hAnsi="宋体" w:eastAsia="宋体"/>
                <w:b w:val="0"/>
                <w:sz w:val="19"/>
              </w:rPr>
              <w:t>0.258*</w:t>
            </w:r>
          </w:p>
        </w:tc>
        <w:tc>
          <w:tcPr>
            <w:tcW w:type="dxa" w:w="1473"/>
          </w:tcPr>
          <w:p>
            <w:pPr>
              <w:jc w:val="center"/>
            </w:pPr>
            <w:r/>
            <w:r>
              <w:rPr>
                <w:rFonts w:ascii="宋体" w:hAnsi="宋体" w:eastAsia="宋体"/>
                <w:b w:val="0"/>
                <w:sz w:val="19"/>
              </w:rPr>
              <w:t>1</w:t>
            </w:r>
          </w:p>
        </w:tc>
        <w:tc>
          <w:tcPr>
            <w:tcW w:type="dxa" w:w="1473"/>
          </w:tcPr>
          <w:p>
            <w:pPr>
              <w:jc w:val="center"/>
            </w:pPr>
            <w:r/>
            <w:r>
              <w:rPr>
                <w:rFonts w:ascii="宋体" w:hAnsi="宋体" w:eastAsia="宋体"/>
                <w:b w:val="0"/>
                <w:sz w:val="19"/>
              </w:rPr>
              <w:t>0.673*</w:t>
            </w:r>
          </w:p>
        </w:tc>
      </w:tr>
    </w:tbl>
    <w:p/>
    <w:p>
      <w:pPr>
        <w:spacing w:line="360" w:lineRule="auto" w:after="120"/>
        <w:ind w:firstLine="480"/>
      </w:pPr>
      <w:r>
        <w:rPr>
          <w:rFonts w:ascii="宋体" w:hAnsi="宋体" w:eastAsia="宋体"/>
          <w:b w:val="0"/>
          <w:sz w:val="24"/>
        </w:rPr>
        <w:t>（*</w:t>
      </w:r>
      <w:r>
        <w:rPr>
          <w:rFonts w:ascii="宋体" w:hAnsi="宋体" w:eastAsia="宋体"/>
          <w:b/>
          <w:sz w:val="24"/>
        </w:rPr>
        <w:t xml:space="preserve"> p&lt;0.01，</w:t>
      </w:r>
      <w:r>
        <w:rPr>
          <w:rFonts w:ascii="宋体" w:hAnsi="宋体" w:eastAsia="宋体"/>
          <w:b w:val="0"/>
          <w:sz w:val="24"/>
        </w:rPr>
        <w:t xml:space="preserve"> p&lt;0.05。</w:t>
      </w:r>
      <w:r>
        <w:rPr>
          <w:rFonts w:ascii="宋体" w:hAnsi="宋体" w:eastAsia="宋体"/>
          <w:b/>
          <w:sz w:val="24"/>
        </w:rPr>
        <w:t>NTH_diff 与词嵌入路线的净相似度显著正相关</w:t>
      </w:r>
      <w:r>
        <w:rPr>
          <w:rFonts w:ascii="宋体" w:hAnsi="宋体" w:eastAsia="宋体"/>
          <w:b w:val="0"/>
          <w:sz w:val="24"/>
        </w:rPr>
        <w:t>，在控制企业规模与披露篇幅后偏相关仍达 r = 0.267（p &lt; 1e-8），说明两条方法完全不同的路线捕捉到了某种共同的语义倾向，聚合效度成立。LDA 扩展词表测度与 NTH 不相关（r = −0.062，p = 0.194），符合"LDA 未能成题"的预期。</w:t>
      </w:r>
    </w:p>
    <w:p>
      <w:pPr>
        <w:spacing w:before="200"/>
      </w:pPr>
      <w:r>
        <w:rPr>
          <w:rFonts w:ascii="黑体" w:hAnsi="黑体" w:eastAsia="黑体"/>
          <w:b/>
          <w:sz w:val="28"/>
        </w:rPr>
        <w:t>5.4 区分效度</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
              <w:rPr>
                <w:rFonts w:ascii="宋体" w:hAnsi="宋体" w:eastAsia="宋体"/>
                <w:b/>
                <w:sz w:val="19"/>
              </w:rPr>
              <w:t>对照变量</w:t>
            </w:r>
          </w:p>
        </w:tc>
        <w:tc>
          <w:tcPr>
            <w:tcW w:type="dxa" w:w="1473"/>
          </w:tcPr>
          <w:p>
            <w:pPr>
              <w:jc w:val="center"/>
            </w:pPr>
            <w:r/>
            <w:r>
              <w:rPr>
                <w:rFonts w:ascii="宋体" w:hAnsi="宋体" w:eastAsia="宋体"/>
                <w:b/>
                <w:sz w:val="19"/>
              </w:rPr>
              <w:t>Pearson r</w:t>
            </w:r>
          </w:p>
        </w:tc>
        <w:tc>
          <w:tcPr>
            <w:tcW w:type="dxa" w:w="1473"/>
          </w:tcPr>
          <w:p>
            <w:pPr>
              <w:jc w:val="center"/>
            </w:pPr>
            <w:r/>
            <w:r>
              <w:rPr>
                <w:rFonts w:ascii="宋体" w:hAnsi="宋体" w:eastAsia="宋体"/>
                <w:b/>
                <w:sz w:val="19"/>
              </w:rPr>
              <w:t>p</w:t>
            </w:r>
          </w:p>
        </w:tc>
        <w:tc>
          <w:tcPr>
            <w:tcW w:type="dxa" w:w="1473"/>
          </w:tcPr>
          <w:p>
            <w:pPr>
              <w:jc w:val="center"/>
            </w:pPr>
            <w:r/>
            <w:r>
              <w:rPr>
                <w:rFonts w:ascii="宋体" w:hAnsi="宋体" w:eastAsia="宋体"/>
                <w:b/>
                <w:sz w:val="19"/>
              </w:rPr>
              <w:t>判定（\</w:t>
            </w:r>
          </w:p>
        </w:tc>
        <w:tc>
          <w:tcPr>
            <w:tcW w:type="dxa" w:w="1473"/>
          </w:tcPr>
          <w:p>
            <w:pPr>
              <w:jc w:val="center"/>
            </w:pPr>
            <w:r/>
            <w:r>
              <w:rPr>
                <w:rFonts w:ascii="宋体" w:hAnsi="宋体" w:eastAsia="宋体"/>
                <w:b/>
                <w:sz w:val="19"/>
              </w:rPr>
              <w:t>r\</w:t>
            </w:r>
          </w:p>
        </w:tc>
        <w:tc>
          <w:tcPr>
            <w:tcW w:type="dxa" w:w="1473"/>
          </w:tcPr>
          <w:p>
            <w:pPr>
              <w:jc w:val="center"/>
            </w:pPr>
            <w:r/>
            <w:r>
              <w:rPr>
                <w:rFonts w:ascii="宋体" w:hAnsi="宋体" w:eastAsia="宋体"/>
                <w:b/>
                <w:sz w:val="19"/>
              </w:rPr>
              <w:t>&lt;0.3）</w:t>
            </w:r>
          </w:p>
        </w:tc>
      </w:tr>
      <w:tr>
        <w:tc>
          <w:tcPr>
            <w:tcW w:type="dxa" w:w="1473"/>
          </w:tcPr>
          <w:p>
            <w:pPr>
              <w:jc w:val="center"/>
            </w:pPr>
            <w:r/>
            <w:r>
              <w:rPr>
                <w:rFonts w:ascii="宋体" w:hAnsi="宋体" w:eastAsia="宋体"/>
                <w:b w:val="0"/>
                <w:sz w:val="19"/>
              </w:rPr>
              <w:t>Size（企业规模）</w:t>
            </w:r>
          </w:p>
        </w:tc>
        <w:tc>
          <w:tcPr>
            <w:tcW w:type="dxa" w:w="1473"/>
          </w:tcPr>
          <w:p>
            <w:pPr>
              <w:jc w:val="center"/>
            </w:pPr>
            <w:r/>
            <w:r>
              <w:rPr>
                <w:rFonts w:ascii="宋体" w:hAnsi="宋体" w:eastAsia="宋体"/>
                <w:b w:val="0"/>
                <w:sz w:val="19"/>
              </w:rPr>
              <w:t>0.034</w:t>
            </w:r>
          </w:p>
        </w:tc>
        <w:tc>
          <w:tcPr>
            <w:tcW w:type="dxa" w:w="1473"/>
          </w:tcPr>
          <w:p>
            <w:pPr>
              <w:jc w:val="center"/>
            </w:pPr>
            <w:r/>
            <w:r>
              <w:rPr>
                <w:rFonts w:ascii="宋体" w:hAnsi="宋体" w:eastAsia="宋体"/>
                <w:b w:val="0"/>
                <w:sz w:val="19"/>
              </w:rPr>
              <w:t>0.477</w:t>
            </w:r>
          </w:p>
        </w:tc>
        <w:tc>
          <w:tcPr>
            <w:tcW w:type="dxa" w:w="1473"/>
          </w:tcPr>
          <w:p>
            <w:pPr>
              <w:jc w:val="center"/>
            </w:pPr>
            <w:r/>
            <w:r>
              <w:rPr>
                <w:rFonts w:ascii="宋体" w:hAnsi="宋体" w:eastAsia="宋体"/>
                <w:b w:val="0"/>
                <w:sz w:val="19"/>
              </w:rPr>
              <w:t>通过</w:t>
            </w:r>
          </w:p>
        </w:tc>
        <w:tc>
          <w:tcPr>
            <w:tcW w:type="dxa" w:w="1473"/>
          </w:tcPr>
          <w:p/>
        </w:tc>
        <w:tc>
          <w:tcPr>
            <w:tcW w:type="dxa" w:w="1473"/>
          </w:tcPr>
          <w:p/>
        </w:tc>
      </w:tr>
      <w:tr>
        <w:tc>
          <w:tcPr>
            <w:tcW w:type="dxa" w:w="1473"/>
          </w:tcPr>
          <w:p>
            <w:pPr>
              <w:jc w:val="center"/>
            </w:pPr>
            <w:r/>
            <w:r>
              <w:rPr>
                <w:rFonts w:ascii="宋体" w:hAnsi="宋体" w:eastAsia="宋体"/>
                <w:b w:val="0"/>
                <w:sz w:val="19"/>
              </w:rPr>
              <w:t>Lev（资产负债率）</w:t>
            </w:r>
          </w:p>
        </w:tc>
        <w:tc>
          <w:tcPr>
            <w:tcW w:type="dxa" w:w="1473"/>
          </w:tcPr>
          <w:p>
            <w:pPr>
              <w:jc w:val="center"/>
            </w:pPr>
            <w:r/>
            <w:r>
              <w:rPr>
                <w:rFonts w:ascii="宋体" w:hAnsi="宋体" w:eastAsia="宋体"/>
                <w:b w:val="0"/>
                <w:sz w:val="19"/>
              </w:rPr>
              <w:t>−0.029</w:t>
            </w:r>
          </w:p>
        </w:tc>
        <w:tc>
          <w:tcPr>
            <w:tcW w:type="dxa" w:w="1473"/>
          </w:tcPr>
          <w:p>
            <w:pPr>
              <w:jc w:val="center"/>
            </w:pPr>
            <w:r/>
            <w:r>
              <w:rPr>
                <w:rFonts w:ascii="宋体" w:hAnsi="宋体" w:eastAsia="宋体"/>
                <w:b w:val="0"/>
                <w:sz w:val="19"/>
              </w:rPr>
              <w:t>0.539</w:t>
            </w:r>
          </w:p>
        </w:tc>
        <w:tc>
          <w:tcPr>
            <w:tcW w:type="dxa" w:w="1473"/>
          </w:tcPr>
          <w:p>
            <w:pPr>
              <w:jc w:val="center"/>
            </w:pPr>
            <w:r/>
            <w:r>
              <w:rPr>
                <w:rFonts w:ascii="宋体" w:hAnsi="宋体" w:eastAsia="宋体"/>
                <w:b w:val="0"/>
                <w:sz w:val="19"/>
              </w:rPr>
              <w:t>通过</w:t>
            </w:r>
          </w:p>
        </w:tc>
        <w:tc>
          <w:tcPr>
            <w:tcW w:type="dxa" w:w="1473"/>
          </w:tcPr>
          <w:p/>
        </w:tc>
        <w:tc>
          <w:tcPr>
            <w:tcW w:type="dxa" w:w="1473"/>
          </w:tcPr>
          <w:p/>
        </w:tc>
      </w:tr>
      <w:tr>
        <w:tc>
          <w:tcPr>
            <w:tcW w:type="dxa" w:w="1473"/>
          </w:tcPr>
          <w:p>
            <w:pPr>
              <w:jc w:val="center"/>
            </w:pPr>
            <w:r/>
            <w:r>
              <w:rPr>
                <w:rFonts w:ascii="宋体" w:hAnsi="宋体" w:eastAsia="宋体"/>
                <w:b w:val="0"/>
                <w:sz w:val="19"/>
              </w:rPr>
              <w:t>ROA（资产收益率）</w:t>
            </w:r>
          </w:p>
        </w:tc>
        <w:tc>
          <w:tcPr>
            <w:tcW w:type="dxa" w:w="1473"/>
          </w:tcPr>
          <w:p>
            <w:pPr>
              <w:jc w:val="center"/>
            </w:pPr>
            <w:r/>
            <w:r>
              <w:rPr>
                <w:rFonts w:ascii="宋体" w:hAnsi="宋体" w:eastAsia="宋体"/>
                <w:b w:val="0"/>
                <w:sz w:val="19"/>
              </w:rPr>
              <w:t>−0.018</w:t>
            </w:r>
          </w:p>
        </w:tc>
        <w:tc>
          <w:tcPr>
            <w:tcW w:type="dxa" w:w="1473"/>
          </w:tcPr>
          <w:p>
            <w:pPr>
              <w:jc w:val="center"/>
            </w:pPr>
            <w:r/>
            <w:r>
              <w:rPr>
                <w:rFonts w:ascii="宋体" w:hAnsi="宋体" w:eastAsia="宋体"/>
                <w:b w:val="0"/>
                <w:sz w:val="19"/>
              </w:rPr>
              <w:t>0.713</w:t>
            </w:r>
          </w:p>
        </w:tc>
        <w:tc>
          <w:tcPr>
            <w:tcW w:type="dxa" w:w="1473"/>
          </w:tcPr>
          <w:p>
            <w:pPr>
              <w:jc w:val="center"/>
            </w:pPr>
            <w:r/>
            <w:r>
              <w:rPr>
                <w:rFonts w:ascii="宋体" w:hAnsi="宋体" w:eastAsia="宋体"/>
                <w:b w:val="0"/>
                <w:sz w:val="19"/>
              </w:rPr>
              <w:t>通过</w:t>
            </w:r>
          </w:p>
        </w:tc>
        <w:tc>
          <w:tcPr>
            <w:tcW w:type="dxa" w:w="1473"/>
          </w:tcPr>
          <w:p/>
        </w:tc>
        <w:tc>
          <w:tcPr>
            <w:tcW w:type="dxa" w:w="1473"/>
          </w:tcPr>
          <w:p/>
        </w:tc>
      </w:tr>
      <w:tr>
        <w:tc>
          <w:tcPr>
            <w:tcW w:type="dxa" w:w="1473"/>
          </w:tcPr>
          <w:p>
            <w:pPr>
              <w:jc w:val="center"/>
            </w:pPr>
            <w:r/>
            <w:r>
              <w:rPr>
                <w:rFonts w:ascii="宋体" w:hAnsi="宋体" w:eastAsia="宋体"/>
                <w:b w:val="0"/>
                <w:sz w:val="19"/>
              </w:rPr>
              <w:t>Age（上市年限）</w:t>
            </w:r>
          </w:p>
        </w:tc>
        <w:tc>
          <w:tcPr>
            <w:tcW w:type="dxa" w:w="1473"/>
          </w:tcPr>
          <w:p>
            <w:pPr>
              <w:jc w:val="center"/>
            </w:pPr>
            <w:r/>
            <w:r>
              <w:rPr>
                <w:rFonts w:ascii="宋体" w:hAnsi="宋体" w:eastAsia="宋体"/>
                <w:b w:val="0"/>
                <w:sz w:val="19"/>
              </w:rPr>
              <w:t>−0.019</w:t>
            </w:r>
          </w:p>
        </w:tc>
        <w:tc>
          <w:tcPr>
            <w:tcW w:type="dxa" w:w="1473"/>
          </w:tcPr>
          <w:p>
            <w:pPr>
              <w:jc w:val="center"/>
            </w:pPr>
            <w:r/>
            <w:r>
              <w:rPr>
                <w:rFonts w:ascii="宋体" w:hAnsi="宋体" w:eastAsia="宋体"/>
                <w:b w:val="0"/>
                <w:sz w:val="19"/>
              </w:rPr>
              <w:t>0.684</w:t>
            </w:r>
          </w:p>
        </w:tc>
        <w:tc>
          <w:tcPr>
            <w:tcW w:type="dxa" w:w="1473"/>
          </w:tcPr>
          <w:p>
            <w:pPr>
              <w:jc w:val="center"/>
            </w:pPr>
            <w:r/>
            <w:r>
              <w:rPr>
                <w:rFonts w:ascii="宋体" w:hAnsi="宋体" w:eastAsia="宋体"/>
                <w:b w:val="0"/>
                <w:sz w:val="19"/>
              </w:rPr>
              <w:t>通过</w:t>
            </w:r>
          </w:p>
        </w:tc>
        <w:tc>
          <w:tcPr>
            <w:tcW w:type="dxa" w:w="1473"/>
          </w:tcPr>
          <w:p/>
        </w:tc>
        <w:tc>
          <w:tcPr>
            <w:tcW w:type="dxa" w:w="1473"/>
          </w:tcPr>
          <w:p/>
        </w:tc>
      </w:tr>
      <w:tr>
        <w:tc>
          <w:tcPr>
            <w:tcW w:type="dxa" w:w="1473"/>
          </w:tcPr>
          <w:p>
            <w:pPr>
              <w:jc w:val="center"/>
            </w:pPr>
            <w:r/>
            <w:r>
              <w:rPr>
                <w:rFonts w:ascii="宋体" w:hAnsi="宋体" w:eastAsia="宋体"/>
                <w:b w:val="0"/>
                <w:sz w:val="19"/>
              </w:rPr>
              <w:t>LnLen（披露篇幅）</w:t>
            </w:r>
          </w:p>
        </w:tc>
        <w:tc>
          <w:tcPr>
            <w:tcW w:type="dxa" w:w="1473"/>
          </w:tcPr>
          <w:p>
            <w:pPr>
              <w:jc w:val="center"/>
            </w:pPr>
            <w:r/>
            <w:r>
              <w:rPr>
                <w:rFonts w:ascii="宋体" w:hAnsi="宋体" w:eastAsia="宋体"/>
                <w:b w:val="0"/>
                <w:sz w:val="19"/>
              </w:rPr>
              <w:t>−0.203</w:t>
            </w:r>
          </w:p>
        </w:tc>
        <w:tc>
          <w:tcPr>
            <w:tcW w:type="dxa" w:w="1473"/>
          </w:tcPr>
          <w:p>
            <w:pPr>
              <w:jc w:val="center"/>
            </w:pPr>
            <w:r/>
            <w:r>
              <w:rPr>
                <w:rFonts w:ascii="宋体" w:hAnsi="宋体" w:eastAsia="宋体"/>
                <w:b w:val="0"/>
                <w:sz w:val="19"/>
              </w:rPr>
              <w:t>0.000</w:t>
            </w:r>
          </w:p>
        </w:tc>
        <w:tc>
          <w:tcPr>
            <w:tcW w:type="dxa" w:w="1473"/>
          </w:tcPr>
          <w:p>
            <w:pPr>
              <w:jc w:val="center"/>
            </w:pPr>
            <w:r/>
            <w:r>
              <w:rPr>
                <w:rFonts w:ascii="宋体" w:hAnsi="宋体" w:eastAsia="宋体"/>
                <w:b w:val="0"/>
                <w:sz w:val="19"/>
              </w:rPr>
              <w:t>通过（但需控制）</w:t>
            </w:r>
          </w:p>
        </w:tc>
        <w:tc>
          <w:tcPr>
            <w:tcW w:type="dxa" w:w="1473"/>
          </w:tcPr>
          <w:p/>
        </w:tc>
        <w:tc>
          <w:tcPr>
            <w:tcW w:type="dxa" w:w="1473"/>
          </w:tcPr>
          <w:p/>
        </w:tc>
      </w:tr>
    </w:tbl>
    <w:p/>
    <w:p>
      <w:pPr>
        <w:spacing w:line="360" w:lineRule="auto" w:after="120"/>
        <w:ind w:firstLine="480"/>
      </w:pPr>
      <w:r>
        <w:rPr>
          <w:rFonts w:ascii="宋体" w:hAnsi="宋体" w:eastAsia="宋体"/>
          <w:b w:val="0"/>
          <w:sz w:val="24"/>
        </w:rPr>
        <w:t xml:space="preserve">此外，以 15 个 LDA 主题比例回归 NTH，调整 R² 仅 0.085；再加入规模与篇幅后为 0.096。这说明 </w:t>
      </w:r>
      <w:r>
        <w:rPr>
          <w:rFonts w:ascii="宋体" w:hAnsi="宋体" w:eastAsia="宋体"/>
          <w:b/>
          <w:sz w:val="24"/>
        </w:rPr>
        <w:t>NTH 不是"披露主题构成"或"篇幅"的简单副产品</w:t>
      </w:r>
      <w:r>
        <w:rPr>
          <w:rFonts w:ascii="宋体" w:hAnsi="宋体" w:eastAsia="宋体"/>
          <w:b w:val="0"/>
          <w:sz w:val="24"/>
        </w:rPr>
        <w:t>，区分效度可接受。篇幅虽在 0.2 量级相关，仍须作为控制变量进入模型（后文证明这一步是决定性的）。</w:t>
      </w:r>
    </w:p>
    <w:p>
      <w:pPr>
        <w:spacing w:before="200"/>
      </w:pPr>
      <w:r>
        <w:rPr>
          <w:rFonts w:ascii="黑体" w:hAnsi="黑体" w:eastAsia="黑体"/>
          <w:b/>
          <w:sz w:val="28"/>
        </w:rPr>
        <w:t>5.5 预测效度</w:t>
      </w:r>
    </w:p>
    <w:p>
      <w:pPr>
        <w:spacing w:line="360" w:lineRule="auto" w:after="120"/>
        <w:ind w:firstLine="480"/>
      </w:pPr>
      <w:r>
        <w:rPr>
          <w:rFonts w:ascii="宋体" w:hAnsi="宋体" w:eastAsia="宋体"/>
          <w:b/>
          <w:sz w:val="24"/>
        </w:rPr>
        <w:t>（1）条件均值检验。</w:t>
      </w:r>
      <w:r>
        <w:rPr>
          <w:rFonts w:ascii="宋体" w:hAnsi="宋体" w:eastAsia="宋体"/>
          <w:b w:val="0"/>
          <w:sz w:val="24"/>
        </w:rPr>
        <w:t xml:space="preserve"> 按 NTH 五分位分组（第 1 组最偏长期，第 5 组最偏短期）：</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
              <w:rPr>
                <w:rFonts w:ascii="宋体" w:hAnsi="宋体" w:eastAsia="宋体"/>
                <w:b/>
                <w:sz w:val="19"/>
              </w:rPr>
              <w:t>组别</w:t>
            </w:r>
          </w:p>
        </w:tc>
        <w:tc>
          <w:tcPr>
            <w:tcW w:type="dxa" w:w="1473"/>
          </w:tcPr>
          <w:p>
            <w:pPr>
              <w:jc w:val="center"/>
            </w:pPr>
            <w:r/>
            <w:r>
              <w:rPr>
                <w:rFonts w:ascii="宋体" w:hAnsi="宋体" w:eastAsia="宋体"/>
                <w:b/>
                <w:sz w:val="19"/>
              </w:rPr>
              <w:t>1</w:t>
            </w:r>
          </w:p>
        </w:tc>
        <w:tc>
          <w:tcPr>
            <w:tcW w:type="dxa" w:w="1473"/>
          </w:tcPr>
          <w:p>
            <w:pPr>
              <w:jc w:val="center"/>
            </w:pPr>
            <w:r/>
            <w:r>
              <w:rPr>
                <w:rFonts w:ascii="宋体" w:hAnsi="宋体" w:eastAsia="宋体"/>
                <w:b/>
                <w:sz w:val="19"/>
              </w:rPr>
              <w:t>2</w:t>
            </w:r>
          </w:p>
        </w:tc>
        <w:tc>
          <w:tcPr>
            <w:tcW w:type="dxa" w:w="1473"/>
          </w:tcPr>
          <w:p>
            <w:pPr>
              <w:jc w:val="center"/>
            </w:pPr>
            <w:r/>
            <w:r>
              <w:rPr>
                <w:rFonts w:ascii="宋体" w:hAnsi="宋体" w:eastAsia="宋体"/>
                <w:b/>
                <w:sz w:val="19"/>
              </w:rPr>
              <w:t>3</w:t>
            </w:r>
          </w:p>
        </w:tc>
        <w:tc>
          <w:tcPr>
            <w:tcW w:type="dxa" w:w="1473"/>
          </w:tcPr>
          <w:p>
            <w:pPr>
              <w:jc w:val="center"/>
            </w:pPr>
            <w:r/>
            <w:r>
              <w:rPr>
                <w:rFonts w:ascii="宋体" w:hAnsi="宋体" w:eastAsia="宋体"/>
                <w:b/>
                <w:sz w:val="19"/>
              </w:rPr>
              <w:t>4</w:t>
            </w:r>
          </w:p>
        </w:tc>
        <w:tc>
          <w:tcPr>
            <w:tcW w:type="dxa" w:w="1473"/>
          </w:tcPr>
          <w:p>
            <w:pPr>
              <w:jc w:val="center"/>
            </w:pPr>
            <w:r/>
            <w:r>
              <w:rPr>
                <w:rFonts w:ascii="宋体" w:hAnsi="宋体" w:eastAsia="宋体"/>
                <w:b/>
                <w:sz w:val="19"/>
              </w:rPr>
              <w:t>5</w:t>
            </w:r>
          </w:p>
        </w:tc>
      </w:tr>
      <w:tr>
        <w:tc>
          <w:tcPr>
            <w:tcW w:type="dxa" w:w="1473"/>
          </w:tcPr>
          <w:p>
            <w:pPr>
              <w:jc w:val="center"/>
            </w:pPr>
            <w:r/>
            <w:r>
              <w:rPr>
                <w:rFonts w:ascii="宋体" w:hAnsi="宋体" w:eastAsia="宋体"/>
                <w:b w:val="0"/>
                <w:sz w:val="19"/>
              </w:rPr>
              <w:t>NTH 均值</w:t>
            </w:r>
          </w:p>
        </w:tc>
        <w:tc>
          <w:tcPr>
            <w:tcW w:type="dxa" w:w="1473"/>
          </w:tcPr>
          <w:p>
            <w:pPr>
              <w:jc w:val="center"/>
            </w:pPr>
            <w:r/>
            <w:r>
              <w:rPr>
                <w:rFonts w:ascii="宋体" w:hAnsi="宋体" w:eastAsia="宋体"/>
                <w:b w:val="0"/>
                <w:sz w:val="19"/>
              </w:rPr>
              <w:t>−0.209</w:t>
            </w:r>
          </w:p>
        </w:tc>
        <w:tc>
          <w:tcPr>
            <w:tcW w:type="dxa" w:w="1473"/>
          </w:tcPr>
          <w:p>
            <w:pPr>
              <w:jc w:val="center"/>
            </w:pPr>
            <w:r/>
            <w:r>
              <w:rPr>
                <w:rFonts w:ascii="宋体" w:hAnsi="宋体" w:eastAsia="宋体"/>
                <w:b w:val="0"/>
                <w:sz w:val="19"/>
              </w:rPr>
              <w:t>−0.141</w:t>
            </w:r>
          </w:p>
        </w:tc>
        <w:tc>
          <w:tcPr>
            <w:tcW w:type="dxa" w:w="1473"/>
          </w:tcPr>
          <w:p>
            <w:pPr>
              <w:jc w:val="center"/>
            </w:pPr>
            <w:r/>
            <w:r>
              <w:rPr>
                <w:rFonts w:ascii="宋体" w:hAnsi="宋体" w:eastAsia="宋体"/>
                <w:b w:val="0"/>
                <w:sz w:val="19"/>
              </w:rPr>
              <w:t>−0.100</w:t>
            </w:r>
          </w:p>
        </w:tc>
        <w:tc>
          <w:tcPr>
            <w:tcW w:type="dxa" w:w="1473"/>
          </w:tcPr>
          <w:p>
            <w:pPr>
              <w:jc w:val="center"/>
            </w:pPr>
            <w:r/>
            <w:r>
              <w:rPr>
                <w:rFonts w:ascii="宋体" w:hAnsi="宋体" w:eastAsia="宋体"/>
                <w:b w:val="0"/>
                <w:sz w:val="19"/>
              </w:rPr>
              <w:t>−0.065</w:t>
            </w:r>
          </w:p>
        </w:tc>
        <w:tc>
          <w:tcPr>
            <w:tcW w:type="dxa" w:w="1473"/>
          </w:tcPr>
          <w:p>
            <w:pPr>
              <w:jc w:val="center"/>
            </w:pPr>
            <w:r/>
            <w:r>
              <w:rPr>
                <w:rFonts w:ascii="宋体" w:hAnsi="宋体" w:eastAsia="宋体"/>
                <w:b w:val="0"/>
                <w:sz w:val="19"/>
              </w:rPr>
              <w:t>−0.011</w:t>
            </w:r>
          </w:p>
        </w:tc>
      </w:tr>
      <w:tr>
        <w:tc>
          <w:tcPr>
            <w:tcW w:type="dxa" w:w="1473"/>
          </w:tcPr>
          <w:p>
            <w:pPr>
              <w:jc w:val="center"/>
            </w:pPr>
            <w:r/>
            <w:r>
              <w:rPr>
                <w:rFonts w:ascii="宋体" w:hAnsi="宋体" w:eastAsia="宋体"/>
                <w:b w:val="0"/>
                <w:sz w:val="19"/>
              </w:rPr>
              <w:t>研发强度均值</w:t>
            </w:r>
          </w:p>
        </w:tc>
        <w:tc>
          <w:tcPr>
            <w:tcW w:type="dxa" w:w="1473"/>
          </w:tcPr>
          <w:p>
            <w:pPr>
              <w:jc w:val="center"/>
            </w:pPr>
            <w:r/>
            <w:r>
              <w:rPr>
                <w:rFonts w:ascii="宋体" w:hAnsi="宋体" w:eastAsia="宋体"/>
                <w:b w:val="0"/>
                <w:sz w:val="19"/>
              </w:rPr>
              <w:t>3.901</w:t>
            </w:r>
          </w:p>
        </w:tc>
        <w:tc>
          <w:tcPr>
            <w:tcW w:type="dxa" w:w="1473"/>
          </w:tcPr>
          <w:p>
            <w:pPr>
              <w:jc w:val="center"/>
            </w:pPr>
            <w:r/>
            <w:r>
              <w:rPr>
                <w:rFonts w:ascii="宋体" w:hAnsi="宋体" w:eastAsia="宋体"/>
                <w:b w:val="0"/>
                <w:sz w:val="19"/>
              </w:rPr>
              <w:t>4.068</w:t>
            </w:r>
          </w:p>
        </w:tc>
        <w:tc>
          <w:tcPr>
            <w:tcW w:type="dxa" w:w="1473"/>
          </w:tcPr>
          <w:p>
            <w:pPr>
              <w:jc w:val="center"/>
            </w:pPr>
            <w:r/>
            <w:r>
              <w:rPr>
                <w:rFonts w:ascii="宋体" w:hAnsi="宋体" w:eastAsia="宋体"/>
                <w:b w:val="0"/>
                <w:sz w:val="19"/>
              </w:rPr>
              <w:t>3.872</w:t>
            </w:r>
          </w:p>
        </w:tc>
        <w:tc>
          <w:tcPr>
            <w:tcW w:type="dxa" w:w="1473"/>
          </w:tcPr>
          <w:p>
            <w:pPr>
              <w:jc w:val="center"/>
            </w:pPr>
            <w:r/>
            <w:r>
              <w:rPr>
                <w:rFonts w:ascii="宋体" w:hAnsi="宋体" w:eastAsia="宋体"/>
                <w:b w:val="0"/>
                <w:sz w:val="19"/>
              </w:rPr>
              <w:t>2.564</w:t>
            </w:r>
          </w:p>
        </w:tc>
        <w:tc>
          <w:tcPr>
            <w:tcW w:type="dxa" w:w="1473"/>
          </w:tcPr>
          <w:p>
            <w:pPr>
              <w:jc w:val="center"/>
            </w:pPr>
            <w:r/>
            <w:r>
              <w:rPr>
                <w:rFonts w:ascii="宋体" w:hAnsi="宋体" w:eastAsia="宋体"/>
                <w:b w:val="0"/>
                <w:sz w:val="19"/>
              </w:rPr>
              <w:t>2.343</w:t>
            </w:r>
          </w:p>
        </w:tc>
      </w:tr>
      <w:tr>
        <w:tc>
          <w:tcPr>
            <w:tcW w:type="dxa" w:w="1473"/>
          </w:tcPr>
          <w:p>
            <w:pPr>
              <w:jc w:val="center"/>
            </w:pPr>
            <w:r/>
            <w:r>
              <w:rPr>
                <w:rFonts w:ascii="宋体" w:hAnsi="宋体" w:eastAsia="宋体"/>
                <w:b w:val="0"/>
                <w:sz w:val="19"/>
              </w:rPr>
              <w:t>研发强度中位数</w:t>
            </w:r>
          </w:p>
        </w:tc>
        <w:tc>
          <w:tcPr>
            <w:tcW w:type="dxa" w:w="1473"/>
          </w:tcPr>
          <w:p>
            <w:pPr>
              <w:jc w:val="center"/>
            </w:pPr>
            <w:r/>
            <w:r>
              <w:rPr>
                <w:rFonts w:ascii="宋体" w:hAnsi="宋体" w:eastAsia="宋体"/>
                <w:b w:val="0"/>
                <w:sz w:val="19"/>
              </w:rPr>
              <w:t>3.410</w:t>
            </w:r>
          </w:p>
        </w:tc>
        <w:tc>
          <w:tcPr>
            <w:tcW w:type="dxa" w:w="1473"/>
          </w:tcPr>
          <w:p>
            <w:pPr>
              <w:jc w:val="center"/>
            </w:pPr>
            <w:r/>
            <w:r>
              <w:rPr>
                <w:rFonts w:ascii="宋体" w:hAnsi="宋体" w:eastAsia="宋体"/>
                <w:b w:val="0"/>
                <w:sz w:val="19"/>
              </w:rPr>
              <w:t>3.255</w:t>
            </w:r>
          </w:p>
        </w:tc>
        <w:tc>
          <w:tcPr>
            <w:tcW w:type="dxa" w:w="1473"/>
          </w:tcPr>
          <w:p>
            <w:pPr>
              <w:jc w:val="center"/>
            </w:pPr>
            <w:r/>
            <w:r>
              <w:rPr>
                <w:rFonts w:ascii="宋体" w:hAnsi="宋体" w:eastAsia="宋体"/>
                <w:b w:val="0"/>
                <w:sz w:val="19"/>
              </w:rPr>
              <w:t>2.836</w:t>
            </w:r>
          </w:p>
        </w:tc>
        <w:tc>
          <w:tcPr>
            <w:tcW w:type="dxa" w:w="1473"/>
          </w:tcPr>
          <w:p>
            <w:pPr>
              <w:jc w:val="center"/>
            </w:pPr>
            <w:r/>
            <w:r>
              <w:rPr>
                <w:rFonts w:ascii="宋体" w:hAnsi="宋体" w:eastAsia="宋体"/>
                <w:b w:val="0"/>
                <w:sz w:val="19"/>
              </w:rPr>
              <w:t>0.735</w:t>
            </w:r>
          </w:p>
        </w:tc>
        <w:tc>
          <w:tcPr>
            <w:tcW w:type="dxa" w:w="1473"/>
          </w:tcPr>
          <w:p>
            <w:pPr>
              <w:jc w:val="center"/>
            </w:pPr>
            <w:r/>
            <w:r>
              <w:rPr>
                <w:rFonts w:ascii="宋体" w:hAnsi="宋体" w:eastAsia="宋体"/>
                <w:b w:val="0"/>
                <w:sz w:val="19"/>
              </w:rPr>
              <w:t>0.445</w:t>
            </w:r>
          </w:p>
        </w:tc>
      </w:tr>
    </w:tbl>
    <w:p/>
    <w:p>
      <w:pPr>
        <w:spacing w:line="360" w:lineRule="auto" w:after="120"/>
        <w:ind w:firstLine="480"/>
      </w:pPr>
      <w:r>
        <w:rPr>
          <w:rFonts w:ascii="宋体" w:hAnsi="宋体" w:eastAsia="宋体"/>
          <w:b w:val="0"/>
          <w:sz w:val="24"/>
        </w:rPr>
        <w:t>研发强度随 NTH 升高</w:t>
      </w:r>
      <w:r>
        <w:rPr>
          <w:rFonts w:ascii="宋体" w:hAnsi="宋体" w:eastAsia="宋体"/>
          <w:b/>
          <w:sz w:val="24"/>
        </w:rPr>
        <w:t>单调下降</w:t>
      </w:r>
      <w:r>
        <w:rPr>
          <w:rFonts w:ascii="宋体" w:hAnsi="宋体" w:eastAsia="宋体"/>
          <w:b w:val="0"/>
          <w:sz w:val="24"/>
        </w:rPr>
        <w:t>，分组序号与研发强度的 Spearman ρ = −0.900，方向与理论预期一致（见图 5-1）。</w:t>
      </w:r>
    </w:p>
    <w:p>
      <w:pPr>
        <w:jc w:val="center"/>
      </w:pPr>
      <w:r>
        <w:drawing>
          <wp:inline xmlns:a="http://schemas.openxmlformats.org/drawingml/2006/main" xmlns:pic="http://schemas.openxmlformats.org/drawingml/2006/picture">
            <wp:extent cx="4860000" cy="2572941"/>
            <wp:docPr id="5" name="Picture 5"/>
            <wp:cNvGraphicFramePr>
              <a:graphicFrameLocks noChangeAspect="1"/>
            </wp:cNvGraphicFramePr>
            <a:graphic>
              <a:graphicData uri="http://schemas.openxmlformats.org/drawingml/2006/picture">
                <pic:pic>
                  <pic:nvPicPr>
                    <pic:cNvPr id="0" name="fig5-1_conditional_means.png"/>
                    <pic:cNvPicPr/>
                  </pic:nvPicPr>
                  <pic:blipFill>
                    <a:blip r:embed="rId13"/>
                    <a:stretch>
                      <a:fillRect/>
                    </a:stretch>
                  </pic:blipFill>
                  <pic:spPr>
                    <a:xfrm>
                      <a:off x="0" y="0"/>
                      <a:ext cx="4860000" cy="2572941"/>
                    </a:xfrm>
                    <a:prstGeom prst="rect"/>
                  </pic:spPr>
                </pic:pic>
              </a:graphicData>
            </a:graphic>
          </wp:inline>
        </w:drawing>
      </w:r>
    </w:p>
    <w:p>
      <w:pPr>
        <w:jc w:val="center"/>
      </w:pPr>
      <w:r>
        <w:rPr>
          <w:rFonts w:ascii="宋体" w:hAnsi="宋体" w:eastAsia="宋体"/>
          <w:b w:val="0"/>
          <w:sz w:val="21"/>
        </w:rPr>
        <w:t>图5-1 净时间视野分组与研发投入强度</w:t>
      </w:r>
    </w:p>
    <w:p>
      <w:pPr>
        <w:spacing w:line="360" w:lineRule="auto" w:after="120"/>
        <w:ind w:firstLine="480"/>
      </w:pPr>
      <w:r>
        <w:rPr>
          <w:rFonts w:ascii="宋体" w:hAnsi="宋体" w:eastAsia="宋体"/>
          <w:b/>
          <w:sz w:val="24"/>
        </w:rPr>
        <w:t>（2）单变量回归。</w:t>
      </w:r>
      <w:r>
        <w:rPr>
          <w:rFonts w:ascii="宋体" w:hAnsi="宋体" w:eastAsia="宋体"/>
          <w:b w:val="0"/>
          <w:sz w:val="24"/>
        </w:rPr>
        <w:t xml:space="preserve"> RD ~ NTH_diff，β = −8.99，t = −3.38，p = 0.001，符合预测效度要求。</w:t>
      </w:r>
    </w:p>
    <w:p>
      <w:pPr>
        <w:spacing w:line="360" w:lineRule="auto" w:after="120"/>
        <w:ind w:firstLine="480"/>
      </w:pPr>
      <w:r>
        <w:rPr>
          <w:rFonts w:ascii="宋体" w:hAnsi="宋体" w:eastAsia="宋体"/>
          <w:b/>
          <w:sz w:val="24"/>
        </w:rPr>
        <w:t>（3）逐步加入固定效应的效应来源分解——本文最关键的结果：</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jc w:val="center"/>
            </w:pPr>
            <w:r/>
            <w:r>
              <w:rPr>
                <w:rFonts w:ascii="宋体" w:hAnsi="宋体" w:eastAsia="宋体"/>
                <w:b/>
                <w:sz w:val="19"/>
              </w:rPr>
              <w:t>设定</w:t>
            </w:r>
          </w:p>
        </w:tc>
        <w:tc>
          <w:tcPr>
            <w:tcW w:type="dxa" w:w="1768"/>
          </w:tcPr>
          <w:p>
            <w:pPr>
              <w:jc w:val="center"/>
            </w:pPr>
            <w:r/>
            <w:r>
              <w:rPr>
                <w:rFonts w:ascii="宋体" w:hAnsi="宋体" w:eastAsia="宋体"/>
                <w:b/>
                <w:sz w:val="19"/>
              </w:rPr>
              <w:t>β</w:t>
            </w:r>
          </w:p>
        </w:tc>
        <w:tc>
          <w:tcPr>
            <w:tcW w:type="dxa" w:w="1768"/>
          </w:tcPr>
          <w:p>
            <w:pPr>
              <w:jc w:val="center"/>
            </w:pPr>
            <w:r/>
            <w:r>
              <w:rPr>
                <w:rFonts w:ascii="宋体" w:hAnsi="宋体" w:eastAsia="宋体"/>
                <w:b/>
                <w:sz w:val="19"/>
              </w:rPr>
              <w:t>聚类稳健 t 值</w:t>
            </w:r>
          </w:p>
        </w:tc>
        <w:tc>
          <w:tcPr>
            <w:tcW w:type="dxa" w:w="1768"/>
          </w:tcPr>
          <w:p>
            <w:pPr>
              <w:jc w:val="center"/>
            </w:pPr>
            <w:r/>
            <w:r>
              <w:rPr>
                <w:rFonts w:ascii="宋体" w:hAnsi="宋体" w:eastAsia="宋体"/>
                <w:b/>
                <w:sz w:val="19"/>
              </w:rPr>
              <w:t>p 值</w:t>
            </w:r>
          </w:p>
        </w:tc>
        <w:tc>
          <w:tcPr>
            <w:tcW w:type="dxa" w:w="1768"/>
          </w:tcPr>
          <w:p>
            <w:pPr>
              <w:jc w:val="center"/>
            </w:pPr>
            <w:r/>
            <w:r>
              <w:rPr>
                <w:rFonts w:ascii="宋体" w:hAnsi="宋体" w:eastAsia="宋体"/>
                <w:b/>
                <w:sz w:val="19"/>
              </w:rPr>
              <w:t>调整 R²</w:t>
            </w:r>
          </w:p>
        </w:tc>
      </w:tr>
      <w:tr>
        <w:tc>
          <w:tcPr>
            <w:tcW w:type="dxa" w:w="1768"/>
          </w:tcPr>
          <w:p>
            <w:pPr>
              <w:jc w:val="center"/>
            </w:pPr>
            <w:r/>
            <w:r>
              <w:rPr>
                <w:rFonts w:ascii="宋体" w:hAnsi="宋体" w:eastAsia="宋体"/>
                <w:b w:val="0"/>
                <w:sz w:val="19"/>
              </w:rPr>
              <w:t>仅纳入 NTH</w:t>
            </w:r>
          </w:p>
        </w:tc>
        <w:tc>
          <w:tcPr>
            <w:tcW w:type="dxa" w:w="1768"/>
          </w:tcPr>
          <w:p>
            <w:pPr>
              <w:jc w:val="center"/>
            </w:pPr>
            <w:r/>
            <w:r>
              <w:rPr>
                <w:rFonts w:ascii="宋体" w:hAnsi="宋体" w:eastAsia="宋体"/>
                <w:b w:val="0"/>
                <w:sz w:val="19"/>
              </w:rPr>
              <w:t>−9.267</w:t>
            </w:r>
          </w:p>
        </w:tc>
        <w:tc>
          <w:tcPr>
            <w:tcW w:type="dxa" w:w="1768"/>
          </w:tcPr>
          <w:p>
            <w:pPr>
              <w:jc w:val="center"/>
            </w:pPr>
            <w:r/>
            <w:r>
              <w:rPr>
                <w:rFonts w:ascii="宋体" w:hAnsi="宋体" w:eastAsia="宋体"/>
                <w:b w:val="0"/>
                <w:sz w:val="19"/>
              </w:rPr>
              <w:t>−2.23</w:t>
            </w:r>
          </w:p>
        </w:tc>
        <w:tc>
          <w:tcPr>
            <w:tcW w:type="dxa" w:w="1768"/>
          </w:tcPr>
          <w:p>
            <w:pPr>
              <w:jc w:val="center"/>
            </w:pPr>
            <w:r/>
            <w:r>
              <w:rPr>
                <w:rFonts w:ascii="宋体" w:hAnsi="宋体" w:eastAsia="宋体"/>
                <w:b w:val="0"/>
                <w:sz w:val="19"/>
              </w:rPr>
              <w:t>0.026</w:t>
            </w:r>
          </w:p>
        </w:tc>
        <w:tc>
          <w:tcPr>
            <w:tcW w:type="dxa" w:w="1768"/>
          </w:tcPr>
          <w:p>
            <w:pPr>
              <w:jc w:val="center"/>
            </w:pPr>
            <w:r/>
            <w:r>
              <w:rPr>
                <w:rFonts w:ascii="宋体" w:hAnsi="宋体" w:eastAsia="宋体"/>
                <w:b w:val="0"/>
                <w:sz w:val="19"/>
              </w:rPr>
              <w:t>0.022</w:t>
            </w:r>
          </w:p>
        </w:tc>
      </w:tr>
      <w:tr>
        <w:tc>
          <w:tcPr>
            <w:tcW w:type="dxa" w:w="1768"/>
          </w:tcPr>
          <w:p>
            <w:pPr>
              <w:jc w:val="center"/>
            </w:pPr>
            <w:r/>
            <w:r>
              <w:rPr>
                <w:rFonts w:ascii="宋体" w:hAnsi="宋体" w:eastAsia="宋体"/>
                <w:b w:val="0"/>
                <w:sz w:val="19"/>
              </w:rPr>
              <w:t>+ 财务与篇幅控制变量</w:t>
            </w:r>
          </w:p>
        </w:tc>
        <w:tc>
          <w:tcPr>
            <w:tcW w:type="dxa" w:w="1768"/>
          </w:tcPr>
          <w:p>
            <w:pPr>
              <w:jc w:val="center"/>
            </w:pPr>
            <w:r/>
            <w:r>
              <w:rPr>
                <w:rFonts w:ascii="宋体" w:hAnsi="宋体" w:eastAsia="宋体"/>
                <w:b w:val="0"/>
                <w:sz w:val="19"/>
              </w:rPr>
              <w:t>−6.317</w:t>
            </w:r>
          </w:p>
        </w:tc>
        <w:tc>
          <w:tcPr>
            <w:tcW w:type="dxa" w:w="1768"/>
          </w:tcPr>
          <w:p>
            <w:pPr>
              <w:jc w:val="center"/>
            </w:pPr>
            <w:r/>
            <w:r>
              <w:rPr>
                <w:rFonts w:ascii="宋体" w:hAnsi="宋体" w:eastAsia="宋体"/>
                <w:b w:val="0"/>
                <w:sz w:val="19"/>
              </w:rPr>
              <w:t>−1.72</w:t>
            </w:r>
          </w:p>
        </w:tc>
        <w:tc>
          <w:tcPr>
            <w:tcW w:type="dxa" w:w="1768"/>
          </w:tcPr>
          <w:p>
            <w:pPr>
              <w:jc w:val="center"/>
            </w:pPr>
            <w:r/>
            <w:r>
              <w:rPr>
                <w:rFonts w:ascii="宋体" w:hAnsi="宋体" w:eastAsia="宋体"/>
                <w:b w:val="0"/>
                <w:sz w:val="19"/>
              </w:rPr>
              <w:t>0.085</w:t>
            </w:r>
          </w:p>
        </w:tc>
        <w:tc>
          <w:tcPr>
            <w:tcW w:type="dxa" w:w="1768"/>
          </w:tcPr>
          <w:p>
            <w:pPr>
              <w:jc w:val="center"/>
            </w:pPr>
            <w:r/>
            <w:r>
              <w:rPr>
                <w:rFonts w:ascii="宋体" w:hAnsi="宋体" w:eastAsia="宋体"/>
                <w:b w:val="0"/>
                <w:sz w:val="19"/>
              </w:rPr>
              <w:t>0.232</w:t>
            </w:r>
          </w:p>
        </w:tc>
      </w:tr>
      <w:tr>
        <w:tc>
          <w:tcPr>
            <w:tcW w:type="dxa" w:w="1768"/>
          </w:tcPr>
          <w:p>
            <w:pPr>
              <w:jc w:val="center"/>
            </w:pPr>
            <w:r/>
            <w:r>
              <w:rPr>
                <w:rFonts w:ascii="宋体" w:hAnsi="宋体" w:eastAsia="宋体"/>
                <w:b w:val="0"/>
                <w:sz w:val="19"/>
              </w:rPr>
              <w:t>+ 年份固定效应</w:t>
            </w:r>
          </w:p>
        </w:tc>
        <w:tc>
          <w:tcPr>
            <w:tcW w:type="dxa" w:w="1768"/>
          </w:tcPr>
          <w:p>
            <w:pPr>
              <w:jc w:val="center"/>
            </w:pPr>
            <w:r/>
            <w:r>
              <w:rPr>
                <w:rFonts w:ascii="宋体" w:hAnsi="宋体" w:eastAsia="宋体"/>
                <w:b w:val="0"/>
                <w:sz w:val="19"/>
              </w:rPr>
              <w:t>−7.964</w:t>
            </w:r>
          </w:p>
        </w:tc>
        <w:tc>
          <w:tcPr>
            <w:tcW w:type="dxa" w:w="1768"/>
          </w:tcPr>
          <w:p>
            <w:pPr>
              <w:jc w:val="center"/>
            </w:pPr>
            <w:r/>
            <w:r>
              <w:rPr>
                <w:rFonts w:ascii="宋体" w:hAnsi="宋体" w:eastAsia="宋体"/>
                <w:b w:val="0"/>
                <w:sz w:val="19"/>
              </w:rPr>
              <w:t>−2.14</w:t>
            </w:r>
          </w:p>
        </w:tc>
        <w:tc>
          <w:tcPr>
            <w:tcW w:type="dxa" w:w="1768"/>
          </w:tcPr>
          <w:p>
            <w:pPr>
              <w:jc w:val="center"/>
            </w:pPr>
            <w:r/>
            <w:r>
              <w:rPr>
                <w:rFonts w:ascii="宋体" w:hAnsi="宋体" w:eastAsia="宋体"/>
                <w:b w:val="0"/>
                <w:sz w:val="19"/>
              </w:rPr>
              <w:t>0.032</w:t>
            </w:r>
          </w:p>
        </w:tc>
        <w:tc>
          <w:tcPr>
            <w:tcW w:type="dxa" w:w="1768"/>
          </w:tcPr>
          <w:p>
            <w:pPr>
              <w:jc w:val="center"/>
            </w:pPr>
            <w:r/>
            <w:r>
              <w:rPr>
                <w:rFonts w:ascii="宋体" w:hAnsi="宋体" w:eastAsia="宋体"/>
                <w:b w:val="0"/>
                <w:sz w:val="19"/>
              </w:rPr>
              <w:t>0.237</w:t>
            </w:r>
          </w:p>
        </w:tc>
      </w:tr>
      <w:tr>
        <w:tc>
          <w:tcPr>
            <w:tcW w:type="dxa" w:w="1768"/>
          </w:tcPr>
          <w:p>
            <w:pPr>
              <w:jc w:val="center"/>
            </w:pPr>
            <w:r/>
            <w:r>
              <w:rPr>
                <w:rFonts w:ascii="宋体" w:hAnsi="宋体" w:eastAsia="宋体"/>
                <w:b w:val="0"/>
                <w:sz w:val="19"/>
              </w:rPr>
              <w:t>+ 行业固定效应</w:t>
            </w:r>
          </w:p>
        </w:tc>
        <w:tc>
          <w:tcPr>
            <w:tcW w:type="dxa" w:w="1768"/>
          </w:tcPr>
          <w:p>
            <w:pPr>
              <w:jc w:val="center"/>
            </w:pPr>
            <w:r/>
            <w:r>
              <w:rPr>
                <w:rFonts w:ascii="宋体" w:hAnsi="宋体" w:eastAsia="宋体"/>
                <w:b w:val="0"/>
                <w:sz w:val="19"/>
              </w:rPr>
              <w:t>−1.372</w:t>
            </w:r>
          </w:p>
        </w:tc>
        <w:tc>
          <w:tcPr>
            <w:tcW w:type="dxa" w:w="1768"/>
          </w:tcPr>
          <w:p>
            <w:pPr>
              <w:jc w:val="center"/>
            </w:pPr>
            <w:r/>
            <w:r>
              <w:rPr>
                <w:rFonts w:ascii="宋体" w:hAnsi="宋体" w:eastAsia="宋体"/>
                <w:b w:val="0"/>
                <w:sz w:val="19"/>
              </w:rPr>
              <w:t>−0.41</w:t>
            </w:r>
          </w:p>
        </w:tc>
        <w:tc>
          <w:tcPr>
            <w:tcW w:type="dxa" w:w="1768"/>
          </w:tcPr>
          <w:p>
            <w:pPr>
              <w:jc w:val="center"/>
            </w:pPr>
            <w:r/>
            <w:r>
              <w:rPr>
                <w:rFonts w:ascii="宋体" w:hAnsi="宋体" w:eastAsia="宋体"/>
                <w:b w:val="0"/>
                <w:sz w:val="19"/>
              </w:rPr>
              <w:t>0.685</w:t>
            </w:r>
          </w:p>
        </w:tc>
        <w:tc>
          <w:tcPr>
            <w:tcW w:type="dxa" w:w="1768"/>
          </w:tcPr>
          <w:p>
            <w:pPr>
              <w:jc w:val="center"/>
            </w:pPr>
            <w:r/>
            <w:r>
              <w:rPr>
                <w:rFonts w:ascii="宋体" w:hAnsi="宋体" w:eastAsia="宋体"/>
                <w:b w:val="0"/>
                <w:sz w:val="19"/>
              </w:rPr>
              <w:t>0.635</w:t>
            </w:r>
          </w:p>
        </w:tc>
      </w:tr>
      <w:tr>
        <w:tc>
          <w:tcPr>
            <w:tcW w:type="dxa" w:w="1768"/>
          </w:tcPr>
          <w:p>
            <w:pPr>
              <w:jc w:val="center"/>
            </w:pPr>
            <w:r/>
            <w:r>
              <w:rPr>
                <w:rFonts w:ascii="宋体" w:hAnsi="宋体" w:eastAsia="宋体"/>
                <w:b w:val="0"/>
                <w:sz w:val="19"/>
              </w:rPr>
              <w:t>+ 企业固定效应</w:t>
            </w:r>
          </w:p>
        </w:tc>
        <w:tc>
          <w:tcPr>
            <w:tcW w:type="dxa" w:w="1768"/>
          </w:tcPr>
          <w:p>
            <w:pPr>
              <w:jc w:val="center"/>
            </w:pPr>
            <w:r/>
            <w:r>
              <w:rPr>
                <w:rFonts w:ascii="宋体" w:hAnsi="宋体" w:eastAsia="宋体"/>
                <w:b w:val="0"/>
                <w:sz w:val="19"/>
              </w:rPr>
              <w:t>−0.931</w:t>
            </w:r>
          </w:p>
        </w:tc>
        <w:tc>
          <w:tcPr>
            <w:tcW w:type="dxa" w:w="1768"/>
          </w:tcPr>
          <w:p>
            <w:pPr>
              <w:jc w:val="center"/>
            </w:pPr>
            <w:r/>
            <w:r>
              <w:rPr>
                <w:rFonts w:ascii="宋体" w:hAnsi="宋体" w:eastAsia="宋体"/>
                <w:b w:val="0"/>
                <w:sz w:val="19"/>
              </w:rPr>
              <w:t>−0.65</w:t>
            </w:r>
          </w:p>
        </w:tc>
        <w:tc>
          <w:tcPr>
            <w:tcW w:type="dxa" w:w="1768"/>
          </w:tcPr>
          <w:p>
            <w:pPr>
              <w:jc w:val="center"/>
            </w:pPr>
            <w:r/>
            <w:r>
              <w:rPr>
                <w:rFonts w:ascii="宋体" w:hAnsi="宋体" w:eastAsia="宋体"/>
                <w:b w:val="0"/>
                <w:sz w:val="19"/>
              </w:rPr>
              <w:t>0.515</w:t>
            </w:r>
          </w:p>
        </w:tc>
        <w:tc>
          <w:tcPr>
            <w:tcW w:type="dxa" w:w="1768"/>
          </w:tcPr>
          <w:p>
            <w:pPr>
              <w:jc w:val="center"/>
            </w:pPr>
            <w:r/>
            <w:r>
              <w:rPr>
                <w:rFonts w:ascii="宋体" w:hAnsi="宋体" w:eastAsia="宋体"/>
                <w:b w:val="0"/>
                <w:sz w:val="19"/>
              </w:rPr>
              <w:t>0.907</w:t>
            </w:r>
          </w:p>
        </w:tc>
      </w:tr>
    </w:tbl>
    <w:p/>
    <w:p>
      <w:pPr>
        <w:spacing w:line="360" w:lineRule="auto" w:after="120"/>
        <w:ind w:firstLine="480"/>
      </w:pPr>
      <w:r>
        <w:rPr>
          <w:rFonts w:ascii="宋体" w:hAnsi="宋体" w:eastAsia="宋体"/>
          <w:b w:val="0"/>
          <w:sz w:val="24"/>
        </w:rPr>
        <w:t>可以看到：</w:t>
      </w:r>
      <w:r>
        <w:rPr>
          <w:rFonts w:ascii="宋体" w:hAnsi="宋体" w:eastAsia="宋体"/>
          <w:b/>
          <w:sz w:val="24"/>
        </w:rPr>
        <w:t>在加入年份固定效应之前，NTH 与研发投入显著负相关；一旦控制行业，效应立即消失</w:t>
      </w:r>
      <w:r>
        <w:rPr>
          <w:rFonts w:ascii="宋体" w:hAnsi="宋体" w:eastAsia="宋体"/>
          <w:b w:val="0"/>
          <w:sz w:val="24"/>
        </w:rPr>
        <w:t>. 这说明截面相关主要来自</w:t>
      </w:r>
      <w:r>
        <w:rPr>
          <w:rFonts w:ascii="宋体" w:hAnsi="宋体" w:eastAsia="宋体"/>
          <w:b/>
          <w:sz w:val="24"/>
        </w:rPr>
        <w:t>行业之间的披露风格差异</w:t>
      </w:r>
      <w:r>
        <w:rPr>
          <w:rFonts w:ascii="宋体" w:hAnsi="宋体" w:eastAsia="宋体"/>
          <w:b w:val="0"/>
          <w:sz w:val="24"/>
        </w:rPr>
        <w:t>——半导体、医药等高新技术企业天然更多使用"长期""战略""核心竞争力"等表述，同时它们恰好也是研发投入强度最高的行业。因此，</w:t>
      </w:r>
      <w:r>
        <w:rPr>
          <w:rFonts w:ascii="宋体" w:hAnsi="宋体" w:eastAsia="宋体"/>
          <w:b/>
          <w:sz w:val="24"/>
        </w:rPr>
        <w:t>本文的证据不支持"净时间视野在行业内解释企业间研发投入差异"这一更强的推论</w:t>
      </w:r>
      <w:r>
        <w:rPr>
          <w:rFonts w:ascii="宋体" w:hAnsi="宋体" w:eastAsia="宋体"/>
          <w:b w:val="0"/>
          <w:sz w:val="24"/>
        </w:rPr>
        <w:t>。</w:t>
      </w:r>
    </w:p>
    <w:p>
      <w:pPr>
        <w:spacing w:line="360" w:lineRule="auto" w:after="120"/>
        <w:ind w:firstLine="480"/>
      </w:pPr>
      <w:r>
        <w:rPr>
          <w:rFonts w:ascii="宋体" w:hAnsi="宋体" w:eastAsia="宋体"/>
          <w:b/>
          <w:sz w:val="24"/>
        </w:rPr>
        <w:t>（4）篇幅陷阱的对照演示。</w:t>
      </w:r>
      <w:r>
        <w:rPr>
          <w:rFonts w:ascii="宋体" w:hAnsi="宋体" w:eastAsia="宋体"/>
          <w:b w:val="0"/>
          <w:sz w:val="24"/>
        </w:rPr>
        <w:t xml:space="preserve"> 若不做长度标准化而直接用 ln(1+命中数)，其与披露篇幅的 Spearman ρ = +0.300（p &lt; 1e-9），单变量回归显示 β = +1.639、t = +2.50、p = 0.013，看似"短视词越多研发越高"；但在 ln(篇幅) 被控制后，β 塌缩至 +0.016、p = 0.971。</w:t>
      </w:r>
      <w:r>
        <w:rPr>
          <w:rFonts w:ascii="宋体" w:hAnsi="宋体" w:eastAsia="宋体"/>
          <w:b/>
          <w:sz w:val="24"/>
        </w:rPr>
        <w:t>这是一个极具警示性的对照：不除分母的词频测度，测到的其实是"这家公司话多不多"。</w:t>
      </w:r>
    </w:p>
    <w:p>
      <w:pPr>
        <w:spacing w:line="360" w:lineRule="auto" w:after="120"/>
        <w:ind w:firstLine="480"/>
      </w:pPr>
      <w:r>
        <w:rPr>
          <w:rFonts w:ascii="宋体" w:hAnsi="宋体" w:eastAsia="宋体"/>
          <w:b/>
          <w:sz w:val="24"/>
        </w:rPr>
        <w:t>（5）其他稳健性。</w:t>
      </w:r>
      <w:r>
        <w:rPr>
          <w:rFonts w:ascii="宋体" w:hAnsi="宋体" w:eastAsia="宋体"/>
          <w:b w:val="0"/>
          <w:sz w:val="24"/>
        </w:rPr>
        <w:t xml:space="preserve"> 替换解释变量为 NTH_ratio、剔除零研发企业、剔除 2020 年疫情期、仅保留制造业子样本、以及替换为词嵌入路线测度，各项结果均不显著（p 值介于 0.27—0.89）；被解释变量换为资本支出强度，β = +2.85、p = 0.412，同样不显著。</w:t>
      </w:r>
    </w:p>
    <w:p>
      <w:pPr>
        <w:spacing w:before="200"/>
      </w:pPr>
      <w:r>
        <w:rPr>
          <w:rFonts w:ascii="黑体" w:hAnsi="黑体" w:eastAsia="黑体"/>
          <w:b/>
          <w:sz w:val="28"/>
        </w:rPr>
        <w:t>5.6 方差分解</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宋体" w:hAnsi="宋体" w:eastAsia="宋体"/>
                <w:b/>
                <w:sz w:val="19"/>
              </w:rPr>
              <w:t>测度</w:t>
            </w:r>
          </w:p>
        </w:tc>
        <w:tc>
          <w:tcPr>
            <w:tcW w:type="dxa" w:w="2946"/>
          </w:tcPr>
          <w:p>
            <w:pPr>
              <w:jc w:val="center"/>
            </w:pPr>
            <w:r/>
            <w:r>
              <w:rPr>
                <w:rFonts w:ascii="宋体" w:hAnsi="宋体" w:eastAsia="宋体"/>
                <w:b/>
                <w:sz w:val="19"/>
              </w:rPr>
              <w:t>企业间方差占比</w:t>
            </w:r>
          </w:p>
        </w:tc>
        <w:tc>
          <w:tcPr>
            <w:tcW w:type="dxa" w:w="2946"/>
          </w:tcPr>
          <w:p>
            <w:pPr>
              <w:jc w:val="center"/>
            </w:pPr>
            <w:r/>
            <w:r>
              <w:rPr>
                <w:rFonts w:ascii="宋体" w:hAnsi="宋体" w:eastAsia="宋体"/>
                <w:b/>
                <w:sz w:val="19"/>
              </w:rPr>
              <w:t>企业内（时序）占比</w:t>
            </w:r>
          </w:p>
        </w:tc>
      </w:tr>
      <w:tr>
        <w:tc>
          <w:tcPr>
            <w:tcW w:type="dxa" w:w="2946"/>
          </w:tcPr>
          <w:p>
            <w:pPr>
              <w:jc w:val="center"/>
            </w:pPr>
            <w:r/>
            <w:r>
              <w:rPr>
                <w:rFonts w:ascii="宋体" w:hAnsi="宋体" w:eastAsia="宋体"/>
                <w:b w:val="0"/>
                <w:sz w:val="19"/>
              </w:rPr>
              <w:t>NTH_diff</w:t>
            </w:r>
          </w:p>
        </w:tc>
        <w:tc>
          <w:tcPr>
            <w:tcW w:type="dxa" w:w="2946"/>
          </w:tcPr>
          <w:p>
            <w:pPr>
              <w:jc w:val="center"/>
            </w:pPr>
            <w:r/>
            <w:r>
              <w:rPr>
                <w:rFonts w:ascii="宋体" w:hAnsi="宋体" w:eastAsia="宋体"/>
                <w:b w:val="0"/>
                <w:sz w:val="19"/>
              </w:rPr>
              <w:t>39.15%</w:t>
            </w:r>
          </w:p>
        </w:tc>
        <w:tc>
          <w:tcPr>
            <w:tcW w:type="dxa" w:w="2946"/>
          </w:tcPr>
          <w:p>
            <w:pPr>
              <w:jc w:val="center"/>
            </w:pPr>
            <w:r/>
            <w:r>
              <w:rPr>
                <w:rFonts w:ascii="宋体" w:hAnsi="宋体" w:eastAsia="宋体"/>
                <w:b w:val="0"/>
                <w:sz w:val="19"/>
              </w:rPr>
              <w:t>60.85%</w:t>
            </w:r>
          </w:p>
        </w:tc>
      </w:tr>
      <w:tr>
        <w:tc>
          <w:tcPr>
            <w:tcW w:type="dxa" w:w="2946"/>
          </w:tcPr>
          <w:p>
            <w:pPr>
              <w:jc w:val="center"/>
            </w:pPr>
            <w:r/>
            <w:r>
              <w:rPr>
                <w:rFonts w:ascii="宋体" w:hAnsi="宋体" w:eastAsia="宋体"/>
                <w:b w:val="0"/>
                <w:sz w:val="19"/>
              </w:rPr>
              <w:t>Myopia_dict</w:t>
            </w:r>
          </w:p>
        </w:tc>
        <w:tc>
          <w:tcPr>
            <w:tcW w:type="dxa" w:w="2946"/>
          </w:tcPr>
          <w:p>
            <w:pPr>
              <w:jc w:val="center"/>
            </w:pPr>
            <w:r/>
            <w:r>
              <w:rPr>
                <w:rFonts w:ascii="宋体" w:hAnsi="宋体" w:eastAsia="宋体"/>
                <w:b w:val="0"/>
                <w:sz w:val="19"/>
              </w:rPr>
              <w:t>44.16%</w:t>
            </w:r>
          </w:p>
        </w:tc>
        <w:tc>
          <w:tcPr>
            <w:tcW w:type="dxa" w:w="2946"/>
          </w:tcPr>
          <w:p>
            <w:pPr>
              <w:jc w:val="center"/>
            </w:pPr>
            <w:r/>
            <w:r>
              <w:rPr>
                <w:rFonts w:ascii="宋体" w:hAnsi="宋体" w:eastAsia="宋体"/>
                <w:b w:val="0"/>
                <w:sz w:val="19"/>
              </w:rPr>
              <w:t>55.84%</w:t>
            </w:r>
          </w:p>
        </w:tc>
      </w:tr>
      <w:tr>
        <w:tc>
          <w:tcPr>
            <w:tcW w:type="dxa" w:w="2946"/>
          </w:tcPr>
          <w:p>
            <w:pPr>
              <w:jc w:val="center"/>
            </w:pPr>
            <w:r/>
            <w:r>
              <w:rPr>
                <w:rFonts w:ascii="宋体" w:hAnsi="宋体" w:eastAsia="宋体"/>
                <w:b w:val="0"/>
                <w:sz w:val="19"/>
              </w:rPr>
              <w:t>EmbNet</w:t>
            </w:r>
          </w:p>
        </w:tc>
        <w:tc>
          <w:tcPr>
            <w:tcW w:type="dxa" w:w="2946"/>
          </w:tcPr>
          <w:p>
            <w:pPr>
              <w:jc w:val="center"/>
            </w:pPr>
            <w:r/>
            <w:r>
              <w:rPr>
                <w:rFonts w:ascii="宋体" w:hAnsi="宋体" w:eastAsia="宋体"/>
                <w:b w:val="0"/>
                <w:sz w:val="19"/>
              </w:rPr>
              <w:t>73.18%</w:t>
            </w:r>
          </w:p>
        </w:tc>
        <w:tc>
          <w:tcPr>
            <w:tcW w:type="dxa" w:w="2946"/>
          </w:tcPr>
          <w:p>
            <w:pPr>
              <w:jc w:val="center"/>
            </w:pPr>
            <w:r/>
            <w:r>
              <w:rPr>
                <w:rFonts w:ascii="宋体" w:hAnsi="宋体" w:eastAsia="宋体"/>
                <w:b w:val="0"/>
                <w:sz w:val="19"/>
              </w:rPr>
              <w:t>26.82%</w:t>
            </w:r>
          </w:p>
        </w:tc>
      </w:tr>
    </w:tbl>
    <w:p/>
    <w:p>
      <w:pPr>
        <w:spacing w:line="360" w:lineRule="auto" w:after="120"/>
        <w:ind w:firstLine="480"/>
      </w:pPr>
      <w:r>
        <w:rPr>
          <w:rFonts w:ascii="宋体" w:hAnsi="宋体" w:eastAsia="宋体"/>
          <w:b w:val="0"/>
          <w:sz w:val="24"/>
        </w:rPr>
        <w:t>NTH_diff 有约 61% 的变异来自同一企业不同年度之间的变化，说明它更接近一种</w:t>
      </w:r>
      <w:r>
        <w:rPr>
          <w:rFonts w:ascii="宋体" w:hAnsi="宋体" w:eastAsia="宋体"/>
          <w:b/>
          <w:sz w:val="24"/>
        </w:rPr>
        <w:t>随年份波动的披露取向</w:t>
      </w:r>
      <w:r>
        <w:rPr>
          <w:rFonts w:ascii="宋体" w:hAnsi="宋体" w:eastAsia="宋体"/>
          <w:b w:val="0"/>
          <w:sz w:val="24"/>
        </w:rPr>
        <w:t>，而不是高度稳定的公司层面特质。这进一步限制了它在跨期推断中的力度，也与 §5.5(3) 中"加入企业固定效应后不显著"的结果互为呼应。</w:t>
      </w:r>
    </w:p>
    <w:p>
      <w:pPr>
        <w:spacing w:before="200"/>
      </w:pPr>
      <w:r>
        <w:rPr>
          <w:rFonts w:ascii="黑体" w:hAnsi="黑体" w:eastAsia="黑体"/>
          <w:b/>
          <w:sz w:val="28"/>
        </w:rPr>
        <w:t>5.7 讨论：三条可迁移的方法论教训</w:t>
      </w:r>
    </w:p>
    <w:p>
      <w:pPr>
        <w:spacing w:line="360" w:lineRule="auto" w:after="120"/>
        <w:ind w:firstLine="480"/>
      </w:pPr>
      <w:r>
        <w:rPr>
          <w:rFonts w:ascii="宋体" w:hAnsi="宋体" w:eastAsia="宋体"/>
          <w:b w:val="0"/>
          <w:sz w:val="24"/>
        </w:rPr>
        <w:t>把上述检验串起来看，本文得到的不只是一个变量的成败，而是三条对后续研究具有普遍意义的教训。</w:t>
      </w:r>
    </w:p>
    <w:p>
      <w:pPr>
        <w:spacing w:line="360" w:lineRule="auto" w:after="120"/>
        <w:ind w:firstLine="480"/>
      </w:pPr>
      <w:r>
        <w:rPr>
          <w:rFonts w:ascii="宋体" w:hAnsi="宋体" w:eastAsia="宋体"/>
          <w:b/>
          <w:sz w:val="24"/>
        </w:rPr>
        <w:t>教训一：显著 ≠ 有效，预测效度不能替代内容效度。</w:t>
      </w:r>
      <w:r>
        <w:rPr>
          <w:rFonts w:ascii="宋体" w:hAnsi="宋体" w:eastAsia="宋体"/>
          <w:b w:val="0"/>
          <w:sz w:val="24"/>
        </w:rPr>
        <w:t xml:space="preserve"> 若只做预测效度检验，本文的初始词典（v1.0）其实"看起来是成功的"——它与研发投入的 Spearman 相关达到 0.156（p = 0.002），方向也与理论一致。但人工判读显示，其中近九成命中根本不是短视语义。一个测度可以在语义上完全错误、却在统计上显著，原因很简单：它捕捉到了</w:t>
      </w:r>
      <w:r>
        <w:rPr>
          <w:rFonts w:ascii="宋体" w:hAnsi="宋体" w:eastAsia="宋体"/>
          <w:b/>
          <w:sz w:val="24"/>
        </w:rPr>
        <w:t>行业或篇幅</w:t>
      </w:r>
      <w:r>
        <w:rPr>
          <w:rFonts w:ascii="宋体" w:hAnsi="宋体" w:eastAsia="宋体"/>
          <w:b w:val="0"/>
          <w:sz w:val="24"/>
        </w:rPr>
        <w:t>，而这两者本身与研发投入高度相关。这正是 Loughran 与 McDonald（2011）强调的"语境决定词义"在中文场景的翻版[3]，也与 Gentzkow 等（2019）关于"必须回答测的是不是想要的东西"的主张一致[5]。</w:t>
      </w:r>
    </w:p>
    <w:p>
      <w:pPr>
        <w:spacing w:line="360" w:lineRule="auto" w:after="120"/>
        <w:ind w:firstLine="480"/>
      </w:pPr>
      <w:r>
        <w:rPr>
          <w:rFonts w:ascii="宋体" w:hAnsi="宋体" w:eastAsia="宋体"/>
          <w:b/>
          <w:sz w:val="24"/>
        </w:rPr>
        <w:t>教训二：模型的先进程度不能突破构念在语料中的可观测密度。</w:t>
      </w:r>
      <w:r>
        <w:rPr>
          <w:rFonts w:ascii="宋体" w:hAnsi="宋体" w:eastAsia="宋体"/>
          <w:b w:val="0"/>
          <w:sz w:val="24"/>
        </w:rPr>
        <w:t xml:space="preserve"> 本文在三条路线上都遇到了瓶颈，但瓶颈的成因各不相同：词典法败于语境迁移，词嵌入败于语料规模，LDA 败于目标语义过于稀疏。三者共同指向一个更基本的约束——</w:t>
      </w:r>
      <w:r>
        <w:rPr>
          <w:rFonts w:ascii="宋体" w:hAnsi="宋体" w:eastAsia="宋体"/>
          <w:b/>
          <w:sz w:val="24"/>
        </w:rPr>
        <w:t>当目标构念在语料中的占比只有万分之一点四时，任何模型都难以把它从噪声中可靠地分离出来</w:t>
      </w:r>
      <w:r>
        <w:rPr>
          <w:rFonts w:ascii="宋体" w:hAnsi="宋体" w:eastAsia="宋体"/>
          <w:b w:val="0"/>
          <w:sz w:val="24"/>
        </w:rPr>
        <w:t>。这提示研究者在选题阶段就应先做"构念可观测性"评估：先统计目标语义的原始密度，再决定是否值得投入建模工作。这一步骤成本极低（本文只用了统计词频与抽样判读），却能避免大量无效的后续工作。</w:t>
      </w:r>
    </w:p>
    <w:p>
      <w:pPr>
        <w:spacing w:line="360" w:lineRule="auto" w:after="120"/>
        <w:ind w:firstLine="480"/>
      </w:pPr>
      <w:r>
        <w:rPr>
          <w:rFonts w:ascii="宋体" w:hAnsi="宋体" w:eastAsia="宋体"/>
          <w:b/>
          <w:sz w:val="24"/>
        </w:rPr>
        <w:t>教训三：效应的来源必须用固定效应拆解，否则相关性会被误读为机制。</w:t>
      </w:r>
      <w:r>
        <w:rPr>
          <w:rFonts w:ascii="宋体" w:hAnsi="宋体" w:eastAsia="宋体"/>
          <w:b w:val="0"/>
          <w:sz w:val="24"/>
        </w:rPr>
        <w:t xml:space="preserve"> 本文最关键的结果是：β 从"仅纳入 NTH"时的 −9.27（p = 0.026）一路降到加入行业固定效应后的 −1.37（p = 0.685）。如果不做这一步，研究者完全可以写出一篇"管理者短视显著抑制研发投入"的论文，并声称支持了胡楠等（2021）的结论[6]；而实际上，他所捕捉到的可能只是"高新技术企业既爱谈长期、又爱搞研发"。</w:t>
      </w:r>
      <w:r>
        <w:rPr>
          <w:rFonts w:ascii="宋体" w:hAnsi="宋体" w:eastAsia="宋体"/>
          <w:b/>
          <w:sz w:val="24"/>
        </w:rPr>
        <w:t>在文本测度研究中，行业固定效应不是可选项，而是必需品</w:t>
      </w:r>
      <w:r>
        <w:rPr>
          <w:rFonts w:ascii="宋体" w:hAnsi="宋体" w:eastAsia="宋体"/>
          <w:b w:val="0"/>
          <w:sz w:val="24"/>
        </w:rPr>
        <w:t>——因为披露风格与行业的关联，往往比披露风格与企业特征之间的关联更强。</w:t>
      </w:r>
    </w:p>
    <w:p>
      <w:pPr>
        <w:spacing w:line="360" w:lineRule="auto" w:after="120"/>
        <w:ind w:firstLine="480"/>
      </w:pPr>
      <w:r>
        <w:rPr>
          <w:rFonts w:ascii="宋体" w:hAnsi="宋体" w:eastAsia="宋体"/>
          <w:b w:val="0"/>
          <w:sz w:val="24"/>
        </w:rPr>
        <w:t>这三条教训在操作层面可以浓缩为一句流程规范：</w:t>
      </w:r>
      <w:r>
        <w:rPr>
          <w:rFonts w:ascii="宋体" w:hAnsi="宋体" w:eastAsia="宋体"/>
          <w:b/>
          <w:sz w:val="24"/>
        </w:rPr>
        <w:t>先做内容效度判读，再做聚合与区分效度，最后才谈预测效度；而在预测效度环节，必须先放行业与篇幅控制，再看系数是否还活着。</w:t>
      </w:r>
    </w:p>
    <w:p>
      <w:pPr>
        <w:spacing w:before="280" w:after="160"/>
        <w:jc w:val="center"/>
      </w:pPr>
      <w:r>
        <w:rPr>
          <w:rFonts w:ascii="黑体" w:hAnsi="黑体" w:eastAsia="黑体"/>
          <w:b/>
          <w:sz w:val="32"/>
        </w:rPr>
        <w:t>6 结论与展望</w:t>
      </w:r>
    </w:p>
    <w:p>
      <w:pPr>
        <w:spacing w:before="200"/>
      </w:pPr>
      <w:r>
        <w:rPr>
          <w:rFonts w:ascii="黑体" w:hAnsi="黑体" w:eastAsia="黑体"/>
          <w:b/>
          <w:sz w:val="28"/>
        </w:rPr>
        <w:t>6.1 主要结论</w:t>
      </w:r>
    </w:p>
    <w:p>
      <w:pPr>
        <w:spacing w:line="360" w:lineRule="auto" w:after="120"/>
        <w:ind w:firstLine="480"/>
      </w:pPr>
      <w:r>
        <w:rPr>
          <w:rFonts w:ascii="宋体" w:hAnsi="宋体" w:eastAsia="宋体"/>
          <w:b/>
          <w:sz w:val="24"/>
        </w:rPr>
        <w:t>（1）词典法的表层词频在中文年报上失效，且失效可以被量化。</w:t>
      </w:r>
      <w:r>
        <w:rPr>
          <w:rFonts w:ascii="宋体" w:hAnsi="宋体" w:eastAsia="宋体"/>
          <w:b w:val="0"/>
          <w:sz w:val="24"/>
        </w:rPr>
        <w:t xml:space="preserve"> 初始 43 词词典产生 2 085 次命中，严格口径下确属"管理层自身短视语义"者不足 6%；经过邻近语境剔除（命中降至 356 次）后精确率仍不足以支撑直接计量使用。构成误命中的主要是"短期借款""闲置募集资金暂时补充流动资金""临时股东大会"等</w:t>
      </w:r>
      <w:r>
        <w:rPr>
          <w:rFonts w:ascii="宋体" w:hAnsi="宋体" w:eastAsia="宋体"/>
          <w:b/>
          <w:sz w:val="24"/>
        </w:rPr>
        <w:t>法定披露套话</w:t>
      </w:r>
      <w:r>
        <w:rPr>
          <w:rFonts w:ascii="宋体" w:hAnsi="宋体" w:eastAsia="宋体"/>
          <w:b w:val="0"/>
          <w:sz w:val="24"/>
        </w:rPr>
        <w:t>。这一结果为中文文本测度研究提供了一个具体的、可核查的误差基线。</w:t>
      </w:r>
    </w:p>
    <w:p>
      <w:pPr>
        <w:spacing w:line="360" w:lineRule="auto" w:after="120"/>
        <w:ind w:firstLine="480"/>
      </w:pPr>
      <w:r>
        <w:rPr>
          <w:rFonts w:ascii="宋体" w:hAnsi="宋体" w:eastAsia="宋体"/>
          <w:b/>
          <w:sz w:val="24"/>
        </w:rPr>
        <w:t>（2）三条技术路线在同一份小样本语料上集体受限，但受限原因不同。</w:t>
      </w:r>
      <w:r>
        <w:rPr>
          <w:rFonts w:ascii="宋体" w:hAnsi="宋体" w:eastAsia="宋体"/>
          <w:b w:val="0"/>
          <w:sz w:val="24"/>
        </w:rPr>
        <w:t xml:space="preserve"> 词典法受制于语境迁移；词嵌入受制于语料规模（约 240 万词不足以训练稳定语义空间，近邻词为随机碎片）；LDA 受制于目标语义过于稀疏（占比约 0.014%，无法独立成题）。这说明"换一个更高级的模型"并不能自动解决测度问题——</w:t>
      </w:r>
      <w:r>
        <w:rPr>
          <w:rFonts w:ascii="宋体" w:hAnsi="宋体" w:eastAsia="宋体"/>
          <w:b/>
          <w:sz w:val="24"/>
        </w:rPr>
        <w:t>模型能力的上限取决于构念在语料中的可观测密度</w:t>
      </w:r>
      <w:r>
        <w:rPr>
          <w:rFonts w:ascii="宋体" w:hAnsi="宋体" w:eastAsia="宋体"/>
          <w:b w:val="0"/>
          <w:sz w:val="24"/>
        </w:rPr>
        <w:t>。</w:t>
      </w:r>
    </w:p>
    <w:p>
      <w:pPr>
        <w:spacing w:line="360" w:lineRule="auto" w:after="120"/>
        <w:ind w:firstLine="480"/>
      </w:pPr>
      <w:r>
        <w:rPr>
          <w:rFonts w:ascii="宋体" w:hAnsi="宋体" w:eastAsia="宋体"/>
          <w:b/>
          <w:sz w:val="24"/>
        </w:rPr>
        <w:t>（3）构念修正后测度具备可接受的部分效度证据。</w:t>
      </w:r>
      <w:r>
        <w:rPr>
          <w:rFonts w:ascii="宋体" w:hAnsi="宋体" w:eastAsia="宋体"/>
          <w:b w:val="0"/>
          <w:sz w:val="24"/>
        </w:rPr>
        <w:t xml:space="preserve"> 净时间视野 NTH 与词嵌入路线的净相似度显著正相关（r = 0.307），与规模、杠杆、盈利性低相关，不能被主题结构或篇幅完全解释，且在条件均值检验中呈现单调性。</w:t>
      </w:r>
    </w:p>
    <w:p>
      <w:pPr>
        <w:spacing w:line="360" w:lineRule="auto" w:after="120"/>
        <w:ind w:firstLine="480"/>
      </w:pPr>
      <w:r>
        <w:rPr>
          <w:rFonts w:ascii="宋体" w:hAnsi="宋体" w:eastAsia="宋体"/>
          <w:b/>
          <w:sz w:val="24"/>
        </w:rPr>
        <w:t>（4）最关键的一条：效应来自行业之间，而非行业内部。</w:t>
      </w:r>
      <w:r>
        <w:rPr>
          <w:rFonts w:ascii="宋体" w:hAnsi="宋体" w:eastAsia="宋体"/>
          <w:b w:val="0"/>
          <w:sz w:val="24"/>
        </w:rPr>
        <w:t xml:space="preserve"> NTH 与研发投入的截面负相关在加入行业固定效应后消失（β 从 −9.27 变为 −1.37，p 从 0.026 变为 0.685）。因此，本文不支持把这类跨越 27 个行业的文本测度直接用作"管理层短视程度"的度量。这是本文最重要的稳健性结论，也是后续研究必须正视的混淆来源。</w:t>
      </w:r>
    </w:p>
    <w:p>
      <w:pPr>
        <w:spacing w:before="200"/>
      </w:pPr>
      <w:r>
        <w:rPr>
          <w:rFonts w:ascii="黑体" w:hAnsi="黑体" w:eastAsia="黑体"/>
          <w:b/>
          <w:sz w:val="28"/>
        </w:rPr>
        <w:t>6.2 实践与写作启示</w:t>
      </w:r>
    </w:p>
    <w:p>
      <w:pPr>
        <w:spacing w:line="360" w:lineRule="auto" w:after="120"/>
        <w:ind w:firstLine="480"/>
      </w:pPr>
      <w:r>
        <w:rPr>
          <w:rFonts w:ascii="宋体" w:hAnsi="宋体" w:eastAsia="宋体"/>
          <w:b w:val="0"/>
          <w:sz w:val="24"/>
        </w:rPr>
        <w:t>对毕业论文写作而言，本文提供三条可直接迁移的经验：其一，</w:t>
      </w:r>
      <w:r>
        <w:rPr>
          <w:rFonts w:ascii="宋体" w:hAnsi="宋体" w:eastAsia="宋体"/>
          <w:b/>
          <w:sz w:val="24"/>
        </w:rPr>
        <w:t>测度即代理</w:t>
      </w:r>
      <w:r>
        <w:rPr>
          <w:rFonts w:ascii="宋体" w:hAnsi="宋体" w:eastAsia="宋体"/>
          <w:b w:val="0"/>
          <w:sz w:val="24"/>
        </w:rPr>
        <w:t>，引用任何文本指标前应先问"它代理的是我想的那个东西吗"；其二，</w:t>
      </w:r>
      <w:r>
        <w:rPr>
          <w:rFonts w:ascii="宋体" w:hAnsi="宋体" w:eastAsia="宋体"/>
          <w:b/>
          <w:sz w:val="24"/>
        </w:rPr>
        <w:t>流程要留痕</w:t>
      </w:r>
      <w:r>
        <w:rPr>
          <w:rFonts w:ascii="宋体" w:hAnsi="宋体" w:eastAsia="宋体"/>
          <w:b w:val="0"/>
          <w:sz w:val="24"/>
        </w:rPr>
        <w:t>，每一步的数据来源、参数、脚本都应入库，评审的第一反应是"能不能复现"；其三，</w:t>
      </w:r>
      <w:r>
        <w:rPr>
          <w:rFonts w:ascii="宋体" w:hAnsi="宋体" w:eastAsia="宋体"/>
          <w:b/>
          <w:sz w:val="24"/>
        </w:rPr>
        <w:t>效度不能省</w:t>
      </w:r>
      <w:r>
        <w:rPr>
          <w:rFonts w:ascii="宋体" w:hAnsi="宋体" w:eastAsia="宋体"/>
          <w:b w:val="0"/>
          <w:sz w:val="24"/>
        </w:rPr>
        <w:t>，没有信效度检验的测度在评审眼中等同于"自造指标"。此外，</w:t>
      </w:r>
      <w:r>
        <w:rPr>
          <w:rFonts w:ascii="宋体" w:hAnsi="宋体" w:eastAsia="宋体"/>
          <w:b/>
          <w:sz w:val="24"/>
        </w:rPr>
        <w:t>必须在回归模型中控制披露篇幅与行业</w:t>
      </w:r>
      <w:r>
        <w:rPr>
          <w:rFonts w:ascii="宋体" w:hAnsi="宋体" w:eastAsia="宋体"/>
          <w:b w:val="0"/>
          <w:sz w:val="24"/>
        </w:rPr>
        <w:t>，否则极易得到方向完全相反的虚假结论。</w:t>
      </w:r>
    </w:p>
    <w:p>
      <w:pPr>
        <w:spacing w:before="200"/>
      </w:pPr>
      <w:r>
        <w:rPr>
          <w:rFonts w:ascii="黑体" w:hAnsi="黑体" w:eastAsia="黑体"/>
          <w:b/>
          <w:sz w:val="28"/>
        </w:rPr>
        <w:t>6.3 研究不足</w:t>
      </w:r>
    </w:p>
    <w:p>
      <w:pPr>
        <w:spacing w:line="360" w:lineRule="auto" w:after="120"/>
        <w:ind w:firstLine="480"/>
      </w:pPr>
      <w:r>
        <w:rPr>
          <w:rFonts w:ascii="宋体" w:hAnsi="宋体" w:eastAsia="宋体"/>
          <w:b w:val="0"/>
          <w:sz w:val="24"/>
        </w:rPr>
        <w:t>第一，样本仅覆盖辽宁省 64 家公司、442 个观测，统计功效有限，尤其难以支撑行业内细分检验；第二，未采集产权性质、股权集中度等治理变量，可能遗漏重要混淆因素；第三，中文分词本身的误差（尤其是用户词典诱发的错误切分）未被完全消除；第四，未使用 BERT 等上下文动态模型，难以判断动态表示能否克服静态方法的局限；第五，参考文献以经典文献为主，尚未满足"近三年不少于 60%"的学院要求。</w:t>
      </w:r>
    </w:p>
    <w:p>
      <w:pPr>
        <w:spacing w:before="200"/>
      </w:pPr>
      <w:r>
        <w:rPr>
          <w:rFonts w:ascii="黑体" w:hAnsi="黑体" w:eastAsia="黑体"/>
          <w:b/>
          <w:sz w:val="28"/>
        </w:rPr>
        <w:t>6.4 后续展望</w:t>
      </w:r>
    </w:p>
    <w:p>
      <w:pPr>
        <w:spacing w:line="360" w:lineRule="auto" w:after="120"/>
        <w:ind w:firstLine="480"/>
      </w:pPr>
      <w:r>
        <w:rPr>
          <w:rFonts w:ascii="宋体" w:hAnsi="宋体" w:eastAsia="宋体"/>
          <w:b w:val="0"/>
          <w:sz w:val="24"/>
        </w:rPr>
        <w:t>三条值得继续推进的路径：</w:t>
      </w:r>
      <w:r>
        <w:rPr>
          <w:rFonts w:ascii="宋体" w:hAnsi="宋体" w:eastAsia="宋体"/>
          <w:b/>
          <w:sz w:val="24"/>
        </w:rPr>
        <w:t>一是收窄到单一行业内再做一次</w:t>
      </w:r>
      <w:r>
        <w:rPr>
          <w:rFonts w:ascii="宋体" w:hAnsi="宋体" w:eastAsia="宋体"/>
          <w:b w:val="0"/>
          <w:sz w:val="24"/>
        </w:rPr>
        <w:t>，例如只在化学原料或通用设备制造业内部构建行业内标准化的时间视野偏离度，从而真正隔离行业风格；</w:t>
      </w:r>
      <w:r>
        <w:rPr>
          <w:rFonts w:ascii="宋体" w:hAnsi="宋体" w:eastAsia="宋体"/>
          <w:b/>
          <w:sz w:val="24"/>
        </w:rPr>
        <w:t>二是扩充到全国样本</w:t>
      </w:r>
      <w:r>
        <w:rPr>
          <w:rFonts w:ascii="宋体" w:hAnsi="宋体" w:eastAsia="宋体"/>
          <w:b w:val="0"/>
          <w:sz w:val="24"/>
        </w:rPr>
        <w:t>，使语料规模达到千万词以上再训练词嵌入，或改用中文金融预训练语言模型做微调，三是转向"管理层动机自述"等语义密度更高的子章节，而非整篇 MD&amp;A，以提高构念的可观测密度。</w:t>
      </w:r>
    </w:p>
    <w:p>
      <w:pPr>
        <w:spacing w:before="280" w:after="160"/>
        <w:jc w:val="center"/>
      </w:pPr>
      <w:r>
        <w:rPr>
          <w:rFonts w:ascii="黑体" w:hAnsi="黑体" w:eastAsia="黑体"/>
          <w:b/>
          <w:sz w:val="32"/>
        </w:rPr>
        <w:t>参考文献</w:t>
      </w:r>
    </w:p>
    <w:p>
      <w:pPr>
        <w:spacing w:line="360" w:lineRule="auto"/>
        <w:ind w:left="425" w:hanging="425"/>
      </w:pPr>
      <w:r>
        <w:rPr>
          <w:rFonts w:ascii="宋体" w:hAnsi="宋体" w:eastAsia="宋体"/>
          <w:b w:val="0"/>
          <w:sz w:val="21"/>
        </w:rPr>
        <w:t>[1] Stein J C. Efficient capital markets, inefficient firms: A model of myopic corporate behavior[J]. The Quarterly Journal of Economics, 1989, 104(4): 655-669.</w:t>
      </w:r>
    </w:p>
    <w:p>
      <w:pPr>
        <w:spacing w:line="360" w:lineRule="auto"/>
        <w:ind w:left="425" w:hanging="425"/>
      </w:pPr>
      <w:r>
        <w:rPr>
          <w:rFonts w:ascii="宋体" w:hAnsi="宋体" w:eastAsia="宋体"/>
          <w:b w:val="0"/>
          <w:sz w:val="21"/>
        </w:rPr>
        <w:t>[2] Brochet F, Loumioti M, Serafeim G. Speaking of the short-term: Disclosure horizon and managerial myopia[J]. Review of Accounting Studies, 2015, 20(3): 1122-1163.</w:t>
      </w:r>
    </w:p>
    <w:p>
      <w:pPr>
        <w:spacing w:line="360" w:lineRule="auto"/>
        <w:ind w:left="425" w:hanging="425"/>
      </w:pPr>
      <w:r>
        <w:rPr>
          <w:rFonts w:ascii="宋体" w:hAnsi="宋体" w:eastAsia="宋体"/>
          <w:b w:val="0"/>
          <w:sz w:val="21"/>
        </w:rPr>
        <w:t>[3] Loughran T, McDonald B. When is a liability not a liability? Textual analysis, dictionaries, and 10-Ks[J]. The Journal of Finance, 2011, 66(1): 35-65.</w:t>
      </w:r>
    </w:p>
    <w:p>
      <w:pPr>
        <w:spacing w:line="360" w:lineRule="auto"/>
        <w:ind w:left="425" w:hanging="425"/>
      </w:pPr>
      <w:r>
        <w:rPr>
          <w:rFonts w:ascii="宋体" w:hAnsi="宋体" w:eastAsia="宋体"/>
          <w:b w:val="0"/>
          <w:sz w:val="21"/>
        </w:rPr>
        <w:t>[4] Loughran T, McDonald B. Textual analysis in accounting and finance[J]. Journal of Accounting Research, 2016, 54(4): 1187-1230.</w:t>
      </w:r>
    </w:p>
    <w:p>
      <w:pPr>
        <w:spacing w:line="360" w:lineRule="auto"/>
        <w:ind w:left="425" w:hanging="425"/>
      </w:pPr>
      <w:r>
        <w:rPr>
          <w:rFonts w:ascii="宋体" w:hAnsi="宋体" w:eastAsia="宋体"/>
          <w:b w:val="0"/>
          <w:sz w:val="21"/>
        </w:rPr>
        <w:t>[5] Gentzkow M, Kelly B, Taddy M. Text as data[J]. Journal of Economic Literature, 2019, 57(3): 535-574.</w:t>
      </w:r>
    </w:p>
    <w:p>
      <w:pPr>
        <w:spacing w:line="360" w:lineRule="auto"/>
        <w:ind w:left="425" w:hanging="425"/>
      </w:pPr>
      <w:r>
        <w:rPr>
          <w:rFonts w:ascii="宋体" w:hAnsi="宋体" w:eastAsia="宋体"/>
          <w:b w:val="0"/>
          <w:sz w:val="21"/>
        </w:rPr>
        <w:t>[6] 胡楠, 薛付婧, 王昊楠. 管理者短视主义影响企业长期投资吗——基于文本分析和机器学习[J]. 管理世界, 2021, 37(5): 139-156.</w:t>
      </w:r>
    </w:p>
    <w:p>
      <w:pPr>
        <w:spacing w:line="360" w:lineRule="auto"/>
        <w:ind w:left="425" w:hanging="425"/>
      </w:pPr>
      <w:r>
        <w:rPr>
          <w:rFonts w:ascii="宋体" w:hAnsi="宋体" w:eastAsia="宋体"/>
          <w:b w:val="0"/>
          <w:sz w:val="21"/>
        </w:rPr>
        <w:t>[7] 吴非, 胡慧芷, 林慧妍, 等. 企业数字化转型与资本市场表现——来自股票流动性的经验证据[J]. 管理世界, 2021, 37(7): 130-144.</w:t>
      </w:r>
    </w:p>
    <w:p>
      <w:pPr>
        <w:spacing w:line="360" w:lineRule="auto"/>
        <w:ind w:left="425" w:hanging="425"/>
      </w:pPr>
      <w:r>
        <w:rPr>
          <w:rFonts w:ascii="宋体" w:hAnsi="宋体" w:eastAsia="宋体"/>
          <w:b w:val="0"/>
          <w:sz w:val="21"/>
        </w:rPr>
        <w:t>[8] 赵宸宇, 王文春, 李雪松. 数字化转型如何影响企业全要素生产率[J]. 财贸经济, 2021, 42(7): 114-129.</w:t>
      </w:r>
    </w:p>
    <w:p>
      <w:pPr>
        <w:spacing w:line="360" w:lineRule="auto"/>
        <w:ind w:left="425" w:hanging="425"/>
      </w:pPr>
      <w:r>
        <w:rPr>
          <w:rFonts w:ascii="宋体" w:hAnsi="宋体" w:eastAsia="宋体"/>
          <w:b w:val="0"/>
          <w:sz w:val="21"/>
        </w:rPr>
        <w:t>[9] Mikolov T, Sutskever I, Chen K, et al. Distributed representations of words and phrases and their compositionality[C]. Advances in Neural Information Processing Systems, 2013: 3111-3119.</w:t>
      </w:r>
    </w:p>
    <w:p>
      <w:pPr>
        <w:spacing w:line="360" w:lineRule="auto"/>
        <w:ind w:left="425" w:hanging="425"/>
      </w:pPr>
      <w:r>
        <w:rPr>
          <w:rFonts w:ascii="宋体" w:hAnsi="宋体" w:eastAsia="宋体"/>
          <w:b w:val="0"/>
          <w:sz w:val="21"/>
        </w:rPr>
        <w:t>[10] Devlin J, Chang M W, Lee K, et al. BERT: Pre-training of deep bidirectional transformers for language understanding[C]. NAACL-HLT, 2019: 4171-4186.</w:t>
      </w:r>
    </w:p>
    <w:p>
      <w:pPr>
        <w:spacing w:line="360" w:lineRule="auto"/>
        <w:ind w:left="425" w:hanging="425"/>
      </w:pPr>
      <w:r>
        <w:rPr>
          <w:rFonts w:ascii="宋体" w:hAnsi="宋体" w:eastAsia="宋体"/>
          <w:b w:val="0"/>
          <w:sz w:val="21"/>
        </w:rPr>
        <w:t>[11] Blei D M, Ng A Y, Jordan M I. Latent Dirichlet allocation[J]. Journal of Machine Learning Research, 2003, 3: 993-1022.</w:t>
      </w:r>
    </w:p>
    <w:p>
      <w:pPr>
        <w:spacing w:line="360" w:lineRule="auto"/>
        <w:ind w:left="425" w:hanging="425"/>
      </w:pPr>
      <w:r>
        <w:rPr>
          <w:rFonts w:ascii="宋体" w:hAnsi="宋体" w:eastAsia="宋体"/>
          <w:b w:val="0"/>
          <w:sz w:val="21"/>
        </w:rPr>
        <w:t>[12] 刘运国, 蒋涛, 胡小芳. 产权性质、管理者shortast视与企业投资效率[J]. 会计研究, 2015(9): 51-58.</w:t>
      </w:r>
    </w:p>
    <w:p>
      <w:pPr>
        <w:spacing w:line="360" w:lineRule="auto"/>
        <w:ind w:left="425" w:hanging="425"/>
      </w:pPr>
      <w:r>
        <w:rPr>
          <w:rFonts w:ascii="宋体" w:hAnsi="宋体" w:eastAsia="宋体"/>
          <w:b w:val="0"/>
          <w:sz w:val="21"/>
        </w:rPr>
        <w:t>[13] 孟庆斌, 李昕宇, 张俊婷. 管理者短视主义与企业创新投入[J]. 管理科学, 2019, 32(4): 32-45.</w:t>
      </w:r>
    </w:p>
    <w:p>
      <w:pPr>
        <w:spacing w:line="360" w:lineRule="auto"/>
        <w:ind w:left="425" w:hanging="425"/>
      </w:pPr>
      <w:r>
        <w:rPr>
          <w:rFonts w:ascii="宋体" w:hAnsi="宋体" w:eastAsia="宋体"/>
          <w:b w:val="0"/>
          <w:sz w:val="21"/>
        </w:rPr>
        <w:t>[14] Hirshleifer D, Low A, Teoh S H. Are overconfident CEOs better innovators?[J]. The Journal of Finance, 2012, 67(4): 1457-1498.</w:t>
      </w:r>
    </w:p>
    <w:p>
      <w:pPr>
        <w:spacing w:line="360" w:lineRule="auto"/>
        <w:ind w:left="425" w:hanging="425"/>
      </w:pPr>
      <w:r>
        <w:rPr>
          <w:rFonts w:ascii="宋体" w:hAnsi="宋体" w:eastAsia="宋体"/>
          <w:b w:val="0"/>
          <w:sz w:val="21"/>
        </w:rPr>
        <w:t>[15] Tetlock P C. Giving content to investor sentiment: The role of media in the stock market[J]. The Journal of Finance, 2007, 62(3): 1139-1168.</w:t>
      </w:r>
    </w:p>
    <w:p>
      <w:pPr>
        <w:spacing w:line="360" w:lineRule="auto"/>
        <w:ind w:left="425" w:hanging="425"/>
      </w:pPr>
      <w:r>
        <w:rPr>
          <w:rFonts w:ascii="宋体" w:hAnsi="宋体" w:eastAsia="宋体"/>
          <w:b w:val="0"/>
          <w:sz w:val="21"/>
        </w:rPr>
        <w:t>[16] Baker M, Wurgler J. Investor sentiment and the cross-section of stock returns[J]. The Journal of Finance, 2006, 61(4): 1645-1680.</w:t>
      </w:r>
    </w:p>
    <w:p>
      <w:pPr>
        <w:spacing w:line="360" w:lineRule="auto"/>
        <w:ind w:left="454"/>
      </w:pPr>
      <w:r>
        <w:rPr>
          <w:rFonts w:ascii="楷体" w:hAnsi="楷体" w:eastAsia="楷体"/>
          <w:b w:val="0"/>
          <w:sz w:val="22"/>
        </w:rPr>
        <w:t>待补充清单（正式提交前必须完成）：按学院体例，近三年（2023—2026）文献不少于文献总数的 60%。建议在 Web of Science、CNKI 以 "textual analysis + managerial myopia"、"finBERT / Chinese financial pre-trained language model"、"disclosure horizon" 为题补充 8—10 篇近年文献，并核验每条的刊名、年、卷、期、页码。</w:t>
      </w:r>
    </w:p>
    <w:p>
      <w:pPr>
        <w:spacing w:before="280" w:after="160"/>
        <w:jc w:val="center"/>
      </w:pPr>
      <w:r>
        <w:rPr>
          <w:rFonts w:ascii="黑体" w:hAnsi="黑体" w:eastAsia="黑体"/>
          <w:b/>
          <w:sz w:val="32"/>
        </w:rPr>
        <w:t>附录 A：可复现材料清单</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宋体" w:hAnsi="宋体" w:eastAsia="宋体"/>
                <w:b/>
                <w:sz w:val="19"/>
              </w:rPr>
              <w:t>文件</w:t>
            </w:r>
          </w:p>
        </w:tc>
        <w:tc>
          <w:tcPr>
            <w:tcW w:type="dxa" w:w="4419"/>
          </w:tcPr>
          <w:p>
            <w:pPr>
              <w:jc w:val="center"/>
            </w:pPr>
            <w:r/>
            <w:r>
              <w:rPr>
                <w:rFonts w:ascii="宋体" w:hAnsi="宋体" w:eastAsia="宋体"/>
                <w:b/>
                <w:sz w:val="19"/>
              </w:rPr>
              <w:t>内容</w:t>
            </w:r>
          </w:p>
        </w:tc>
      </w:tr>
      <w:tr>
        <w:tc>
          <w:tcPr>
            <w:tcW w:type="dxa" w:w="4419"/>
          </w:tcPr>
          <w:p>
            <w:pPr>
              <w:jc w:val="center"/>
            </w:pPr>
            <w:r/>
            <w:r>
              <w:rPr>
                <w:rFonts w:ascii="宋体" w:hAnsi="宋体" w:eastAsia="宋体"/>
                <w:b w:val="0"/>
                <w:sz w:val="19"/>
              </w:rPr>
              <w:t>`scripts/01a_build_sample_frame.py`</w:t>
            </w:r>
          </w:p>
        </w:tc>
        <w:tc>
          <w:tcPr>
            <w:tcW w:type="dxa" w:w="4419"/>
          </w:tcPr>
          <w:p>
            <w:pPr>
              <w:jc w:val="center"/>
            </w:pPr>
            <w:r/>
            <w:r>
              <w:rPr>
                <w:rFonts w:ascii="宋体" w:hAnsi="宋体" w:eastAsia="宋体"/>
                <w:b w:val="0"/>
                <w:sz w:val="19"/>
              </w:rPr>
              <w:t>全市场代码扫描，生成辽宁省样本框</w:t>
            </w:r>
          </w:p>
        </w:tc>
      </w:tr>
      <w:tr>
        <w:tc>
          <w:tcPr>
            <w:tcW w:type="dxa" w:w="4419"/>
          </w:tcPr>
          <w:p>
            <w:pPr>
              <w:jc w:val="center"/>
            </w:pPr>
            <w:r/>
            <w:r>
              <w:rPr>
                <w:rFonts w:ascii="宋体" w:hAnsi="宋体" w:eastAsia="宋体"/>
                <w:b w:val="0"/>
                <w:sz w:val="19"/>
              </w:rPr>
              <w:t>`scripts/01a_repair_frame.py`</w:t>
            </w:r>
          </w:p>
        </w:tc>
        <w:tc>
          <w:tcPr>
            <w:tcW w:type="dxa" w:w="4419"/>
          </w:tcPr>
          <w:p>
            <w:pPr>
              <w:jc w:val="center"/>
            </w:pPr>
            <w:r/>
            <w:r>
              <w:rPr>
                <w:rFonts w:ascii="宋体" w:hAnsi="宋体" w:eastAsia="宋体"/>
                <w:b w:val="0"/>
                <w:sz w:val="19"/>
              </w:rPr>
              <w:t>补扫至收敛，保证样本框穷尽</w:t>
            </w:r>
          </w:p>
        </w:tc>
      </w:tr>
      <w:tr>
        <w:tc>
          <w:tcPr>
            <w:tcW w:type="dxa" w:w="4419"/>
          </w:tcPr>
          <w:p>
            <w:pPr>
              <w:jc w:val="center"/>
            </w:pPr>
            <w:r/>
            <w:r>
              <w:rPr>
                <w:rFonts w:ascii="宋体" w:hAnsi="宋体" w:eastAsia="宋体"/>
                <w:b w:val="0"/>
                <w:sz w:val="19"/>
              </w:rPr>
              <w:t>`scripts/01b_download_annual_reports.py`</w:t>
            </w:r>
          </w:p>
        </w:tc>
        <w:tc>
          <w:tcPr>
            <w:tcW w:type="dxa" w:w="4419"/>
          </w:tcPr>
          <w:p>
            <w:pPr>
              <w:jc w:val="center"/>
            </w:pPr>
            <w:r/>
            <w:r>
              <w:rPr>
                <w:rFonts w:ascii="宋体" w:hAnsi="宋体" w:eastAsia="宋体"/>
                <w:b w:val="0"/>
                <w:sz w:val="19"/>
              </w:rPr>
              <w:t>年报 PDF 下载（含 orgId 踩坑处理）</w:t>
            </w:r>
          </w:p>
        </w:tc>
      </w:tr>
      <w:tr>
        <w:tc>
          <w:tcPr>
            <w:tcW w:type="dxa" w:w="4419"/>
          </w:tcPr>
          <w:p>
            <w:pPr>
              <w:jc w:val="center"/>
            </w:pPr>
            <w:r/>
            <w:r>
              <w:rPr>
                <w:rFonts w:ascii="宋体" w:hAnsi="宋体" w:eastAsia="宋体"/>
                <w:b w:val="0"/>
                <w:sz w:val="19"/>
              </w:rPr>
              <w:t>`scripts/01c_fetch_financials.py`、`01c_repair_capex.py`</w:t>
            </w:r>
          </w:p>
        </w:tc>
        <w:tc>
          <w:tcPr>
            <w:tcW w:type="dxa" w:w="4419"/>
          </w:tcPr>
          <w:p>
            <w:pPr>
              <w:jc w:val="center"/>
            </w:pPr>
            <w:r/>
            <w:r>
              <w:rPr>
                <w:rFonts w:ascii="宋体" w:hAnsi="宋体" w:eastAsia="宋体"/>
                <w:b w:val="0"/>
                <w:sz w:val="19"/>
              </w:rPr>
              <w:t>财务变量采集</w:t>
            </w:r>
          </w:p>
        </w:tc>
      </w:tr>
      <w:tr>
        <w:tc>
          <w:tcPr>
            <w:tcW w:type="dxa" w:w="4419"/>
          </w:tcPr>
          <w:p>
            <w:pPr>
              <w:jc w:val="center"/>
            </w:pPr>
            <w:r/>
            <w:r>
              <w:rPr>
                <w:rFonts w:ascii="宋体" w:hAnsi="宋体" w:eastAsia="宋体"/>
                <w:b w:val="0"/>
                <w:sz w:val="19"/>
              </w:rPr>
              <w:t>`scripts/02_preprocessing.py`</w:t>
            </w:r>
          </w:p>
        </w:tc>
        <w:tc>
          <w:tcPr>
            <w:tcW w:type="dxa" w:w="4419"/>
          </w:tcPr>
          <w:p>
            <w:pPr>
              <w:jc w:val="center"/>
            </w:pPr>
            <w:r/>
            <w:r>
              <w:rPr>
                <w:rFonts w:ascii="宋体" w:hAnsi="宋体" w:eastAsia="宋体"/>
                <w:b w:val="0"/>
                <w:sz w:val="19"/>
              </w:rPr>
              <w:t>PDF 解析、MD&amp;A 定位、分词、去停用词</w:t>
            </w:r>
          </w:p>
        </w:tc>
      </w:tr>
      <w:tr>
        <w:tc>
          <w:tcPr>
            <w:tcW w:type="dxa" w:w="4419"/>
          </w:tcPr>
          <w:p>
            <w:pPr>
              <w:jc w:val="center"/>
            </w:pPr>
            <w:r/>
            <w:r>
              <w:rPr>
                <w:rFonts w:ascii="宋体" w:hAnsi="宋体" w:eastAsia="宋体"/>
                <w:b w:val="0"/>
                <w:sz w:val="19"/>
              </w:rPr>
              <w:t>`scripts/03a_feature_dictionary.py`</w:t>
            </w:r>
          </w:p>
        </w:tc>
        <w:tc>
          <w:tcPr>
            <w:tcW w:type="dxa" w:w="4419"/>
          </w:tcPr>
          <w:p>
            <w:pPr>
              <w:jc w:val="center"/>
            </w:pPr>
            <w:r/>
            <w:r>
              <w:rPr>
                <w:rFonts w:ascii="宋体" w:hAnsi="宋体" w:eastAsia="宋体"/>
                <w:b w:val="0"/>
                <w:sz w:val="19"/>
              </w:rPr>
              <w:t>路线一：词典法（含 v1/v2 与长期词典）</w:t>
            </w:r>
          </w:p>
        </w:tc>
      </w:tr>
      <w:tr>
        <w:tc>
          <w:tcPr>
            <w:tcW w:type="dxa" w:w="4419"/>
          </w:tcPr>
          <w:p>
            <w:pPr>
              <w:jc w:val="center"/>
            </w:pPr>
            <w:r/>
            <w:r>
              <w:rPr>
                <w:rFonts w:ascii="宋体" w:hAnsi="宋体" w:eastAsia="宋体"/>
                <w:b w:val="0"/>
                <w:sz w:val="19"/>
              </w:rPr>
              <w:t>`scripts/03b_feature_word2vec.py`</w:t>
            </w:r>
          </w:p>
        </w:tc>
        <w:tc>
          <w:tcPr>
            <w:tcW w:type="dxa" w:w="4419"/>
          </w:tcPr>
          <w:p>
            <w:pPr>
              <w:jc w:val="center"/>
            </w:pPr>
            <w:r/>
            <w:r>
              <w:rPr>
                <w:rFonts w:ascii="宋体" w:hAnsi="宋体" w:eastAsia="宋体"/>
                <w:b w:val="0"/>
                <w:sz w:val="19"/>
              </w:rPr>
              <w:t>路线二：词嵌入</w:t>
            </w:r>
          </w:p>
        </w:tc>
      </w:tr>
      <w:tr>
        <w:tc>
          <w:tcPr>
            <w:tcW w:type="dxa" w:w="4419"/>
          </w:tcPr>
          <w:p>
            <w:pPr>
              <w:jc w:val="center"/>
            </w:pPr>
            <w:r/>
            <w:r>
              <w:rPr>
                <w:rFonts w:ascii="宋体" w:hAnsi="宋体" w:eastAsia="宋体"/>
                <w:b w:val="0"/>
                <w:sz w:val="19"/>
              </w:rPr>
              <w:t>`scripts/03c_feature_lda.py`</w:t>
            </w:r>
          </w:p>
        </w:tc>
        <w:tc>
          <w:tcPr>
            <w:tcW w:type="dxa" w:w="4419"/>
          </w:tcPr>
          <w:p>
            <w:pPr>
              <w:jc w:val="center"/>
            </w:pPr>
            <w:r/>
            <w:r>
              <w:rPr>
                <w:rFonts w:ascii="宋体" w:hAnsi="宋体" w:eastAsia="宋体"/>
                <w:b w:val="0"/>
                <w:sz w:val="19"/>
              </w:rPr>
              <w:t>路线三：LDA</w:t>
            </w:r>
          </w:p>
        </w:tc>
      </w:tr>
      <w:tr>
        <w:tc>
          <w:tcPr>
            <w:tcW w:type="dxa" w:w="4419"/>
          </w:tcPr>
          <w:p>
            <w:pPr>
              <w:jc w:val="center"/>
            </w:pPr>
            <w:r/>
            <w:r>
              <w:rPr>
                <w:rFonts w:ascii="宋体" w:hAnsi="宋体" w:eastAsia="宋体"/>
                <w:b w:val="0"/>
                <w:sz w:val="19"/>
              </w:rPr>
              <w:t>`scripts/04_measure_construction.py`</w:t>
            </w:r>
          </w:p>
        </w:tc>
        <w:tc>
          <w:tcPr>
            <w:tcW w:type="dxa" w:w="4419"/>
          </w:tcPr>
          <w:p>
            <w:pPr>
              <w:jc w:val="center"/>
            </w:pPr>
            <w:r/>
            <w:r>
              <w:rPr>
                <w:rFonts w:ascii="宋体" w:hAnsi="宋体" w:eastAsia="宋体"/>
                <w:b w:val="0"/>
                <w:sz w:val="19"/>
              </w:rPr>
              <w:t>面板构建与样本筛选</w:t>
            </w:r>
          </w:p>
        </w:tc>
      </w:tr>
      <w:tr>
        <w:tc>
          <w:tcPr>
            <w:tcW w:type="dxa" w:w="4419"/>
          </w:tcPr>
          <w:p>
            <w:pPr>
              <w:jc w:val="center"/>
            </w:pPr>
            <w:r/>
            <w:r>
              <w:rPr>
                <w:rFonts w:ascii="宋体" w:hAnsi="宋体" w:eastAsia="宋体"/>
                <w:b w:val="0"/>
                <w:sz w:val="19"/>
              </w:rPr>
              <w:t>`scripts/05_validity_tests.py`</w:t>
            </w:r>
          </w:p>
        </w:tc>
        <w:tc>
          <w:tcPr>
            <w:tcW w:type="dxa" w:w="4419"/>
          </w:tcPr>
          <w:p>
            <w:pPr>
              <w:jc w:val="center"/>
            </w:pPr>
            <w:r/>
            <w:r>
              <w:rPr>
                <w:rFonts w:ascii="宋体" w:hAnsi="宋体" w:eastAsia="宋体"/>
                <w:b w:val="0"/>
                <w:sz w:val="19"/>
              </w:rPr>
              <w:t>四类效度检验</w:t>
            </w:r>
          </w:p>
        </w:tc>
      </w:tr>
      <w:tr>
        <w:tc>
          <w:tcPr>
            <w:tcW w:type="dxa" w:w="4419"/>
          </w:tcPr>
          <w:p>
            <w:pPr>
              <w:jc w:val="center"/>
            </w:pPr>
            <w:r/>
            <w:r>
              <w:rPr>
                <w:rFonts w:ascii="宋体" w:hAnsi="宋体" w:eastAsia="宋体"/>
                <w:b w:val="0"/>
                <w:sz w:val="19"/>
              </w:rPr>
              <w:t>`scripts/06_regression_analysis.py`</w:t>
            </w:r>
          </w:p>
        </w:tc>
        <w:tc>
          <w:tcPr>
            <w:tcW w:type="dxa" w:w="4419"/>
          </w:tcPr>
          <w:p>
            <w:pPr>
              <w:jc w:val="center"/>
            </w:pPr>
            <w:r/>
            <w:r>
              <w:rPr>
                <w:rFonts w:ascii="宋体" w:hAnsi="宋体" w:eastAsia="宋体"/>
                <w:b w:val="0"/>
                <w:sz w:val="19"/>
              </w:rPr>
              <w:t>回归与效应来源诊断</w:t>
            </w:r>
          </w:p>
        </w:tc>
      </w:tr>
      <w:tr>
        <w:tc>
          <w:tcPr>
            <w:tcW w:type="dxa" w:w="4419"/>
          </w:tcPr>
          <w:p>
            <w:pPr>
              <w:jc w:val="center"/>
            </w:pPr>
            <w:r/>
            <w:r>
              <w:rPr>
                <w:rFonts w:ascii="宋体" w:hAnsi="宋体" w:eastAsia="宋体"/>
                <w:b w:val="0"/>
                <w:sz w:val="19"/>
              </w:rPr>
              <w:t>`data/lexicon/`</w:t>
            </w:r>
          </w:p>
        </w:tc>
        <w:tc>
          <w:tcPr>
            <w:tcW w:type="dxa" w:w="4419"/>
          </w:tcPr>
          <w:p>
            <w:pPr>
              <w:jc w:val="center"/>
            </w:pPr>
            <w:r/>
            <w:r>
              <w:rPr>
                <w:rFonts w:ascii="宋体" w:hAnsi="宋体" w:eastAsia="宋体"/>
                <w:b w:val="0"/>
                <w:sz w:val="19"/>
              </w:rPr>
              <w:t>短视 v1.0、短视 v2.0、长期视域、停用词表</w:t>
            </w:r>
          </w:p>
        </w:tc>
      </w:tr>
      <w:tr>
        <w:tc>
          <w:tcPr>
            <w:tcW w:type="dxa" w:w="4419"/>
          </w:tcPr>
          <w:p>
            <w:pPr>
              <w:jc w:val="center"/>
            </w:pPr>
            <w:r/>
            <w:r>
              <w:rPr>
                <w:rFonts w:ascii="宋体" w:hAnsi="宋体" w:eastAsia="宋体"/>
                <w:b w:val="0"/>
                <w:sz w:val="19"/>
              </w:rPr>
              <w:t>`results/`</w:t>
            </w:r>
          </w:p>
        </w:tc>
        <w:tc>
          <w:tcPr>
            <w:tcW w:type="dxa" w:w="4419"/>
          </w:tcPr>
          <w:p>
            <w:pPr>
              <w:jc w:val="center"/>
            </w:pPr>
            <w:r/>
            <w:r>
              <w:rPr>
                <w:rFonts w:ascii="宋体" w:hAnsi="宋体" w:eastAsia="宋体"/>
                <w:b w:val="0"/>
                <w:sz w:val="19"/>
              </w:rPr>
              <w:t>全部中间表与结果表（CSV）</w:t>
            </w:r>
          </w:p>
        </w:tc>
      </w:tr>
    </w:tbl>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