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lang w:val="ru-RU"/>
        </w:rPr>
        <w:t xml:space="preserve">Государственное бюджетное профессиональное образовательное учреждение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2E609F0E">
      <w:pPr>
        <w:pBdr/>
        <w:spacing w:after="0" w:line="360" w:lineRule="auto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«Магаданский политехнический техникум» (ГБПОУ 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«Магаданский политехнический техникум»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)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63C74588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CEC83D6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5D4DCD">
      <w:pPr>
        <w:pBdr/>
        <w:spacing w:after="0" w:line="360" w:lineRule="auto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Специальность «Информационные системы и программирование»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4BA7C94F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D66513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0CE301F">
      <w:pPr>
        <w:pBdr/>
        <w:spacing w:after="0" w:line="360" w:lineRule="auto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Практическая работа №1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5F26610C">
      <w:pPr>
        <w:pBdr/>
        <w:spacing w:after="0" w:line="360" w:lineRule="auto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Анализ предметной деятельности «Сохраненные вакансии»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545A267F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84D0D2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1E3A638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63061C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A600782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7BB3558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513622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5C1DA3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759076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B8971B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55A3C9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6A4B3D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8869273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B3377E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9591C1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6FC014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D46EDE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C60B8E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5298D8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953279">
      <w:pPr>
        <w:pBdr/>
        <w:spacing w:after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DEEB9D6">
      <w:pPr>
        <w:pBdr/>
        <w:spacing w:after="0" w:line="360" w:lineRule="auto"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4487845">
      <w:pPr>
        <w:pBdr/>
        <w:spacing w:after="0" w:line="360" w:lineRule="auto"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AFA2F2">
      <w:pPr>
        <w:pBdr/>
        <w:spacing w:after="0" w:line="360" w:lineRule="auto"/>
        <w:ind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Студент 2ИСП-09</w:t>
        <w:tab/>
        <w:tab/>
        <w:tab/>
        <w:tab/>
        <w:tab/>
        <w:tab/>
        <w:tab/>
        <w:t xml:space="preserve">_______Т. А.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Крохин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1489BD38">
      <w:p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0944712">
      <w:pPr>
        <w:pBdr/>
        <w:spacing w:after="0" w:line="360" w:lineRule="auto"/>
        <w:ind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Преподаватель</w:t>
        <w:tab/>
        <w:tab/>
        <w:tab/>
        <w:tab/>
        <w:tab/>
        <w:tab/>
        <w:tab/>
        <w:tab/>
        <w:t xml:space="preserve">_______А.С. Кашпур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261EC9DE">
      <w:p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D1F553">
      <w:p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1BD6B9C">
      <w:pPr>
        <w:pBdr/>
        <w:spacing w:after="0" w:line="360" w:lineRule="auto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Магадан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2B80154B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2026</w:t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484CBFD9"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Предметная область.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6E8ACD3">
      <w:pPr>
        <w:pBdr/>
        <w:spacing w:after="0" w:line="360" w:lineRule="auto"/>
        <w:ind w:firstLine="708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Сохранённые вакансии – система учета и отслеживания вакансий, на которые соискатель откликнулся или планирует откликнуться. Включает сбор информации о вакансиях (должность, компания, условия), регистрацию этапов прохождения отбора (отправка резюме, собеседования,получение ответа) и формирование отчетности по результатам поиска работы.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5B0451A">
      <w:pPr>
        <w:pBdr/>
        <w:tabs>
          <w:tab w:val="left" w:leader="none" w:pos="1631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Цель задачи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2816639"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Обеспечить систематизированный учет вакансий для контроля этапов трудоустройства, анализа эффективности поиска работы и своевременного реагирования на изменения статуса откликов.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F655310"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Предмет исследования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EC8002E"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Процессы сбора, регистрации, отслеживания и анализа информации о вакансиях и этапах трудоустройства.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9AE5F23"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Объект исследования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4D03AA7"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Система учета сохранённых вакансий для соискателей работы.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18AE8B2"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Точка зрения.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349D9C8"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Соискатель работы (лицо, заинтересованное в эффективном поиске работы и отслеживании всех этапов трудоустройства).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6E96AFB9"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2990" cy="335761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335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692989" cy="3357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9.53pt;height:264.3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38AB6B0"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Рис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Контекстная диаграмма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IDEF0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Учёт полива растений»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7A1F837"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407B2D0">
      <w:pPr>
        <w:pBdr/>
        <w:spacing w:after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Входные данные: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056FE68">
      <w:pPr>
        <w:pStyle w:val="936"/>
        <w:numPr>
          <w:ilvl w:val="0"/>
          <w:numId w:val="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вакансиях – данные о найденных вакансиях с сайтов по трудоустройству (название должности, компания, требования, условия, зарплата, ссылка).</w:t>
      </w:r>
      <w:r>
        <w:rPr>
          <w:rFonts w:ascii="Times New Roman" w:hAnsi="Times New Roman" w:cs="Times New Roman"/>
          <w:sz w:val="28"/>
          <w:szCs w:val="28"/>
        </w:rPr>
      </w:r>
    </w:p>
    <w:p w14:paraId="2AFAA3CF">
      <w:pPr>
        <w:pStyle w:val="936"/>
        <w:numPr>
          <w:ilvl w:val="0"/>
          <w:numId w:val="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Резюме соискателя – информация о навыках, опыте работы и образовании для отклика на вакансии.</w:t>
      </w:r>
      <w:r>
        <w:rPr>
          <w:rFonts w:ascii="Times New Roman" w:hAnsi="Times New Roman" w:cs="Times New Roman"/>
          <w:sz w:val="28"/>
          <w:szCs w:val="28"/>
        </w:rPr>
      </w:r>
    </w:p>
    <w:p w14:paraId="60707C2F"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Управление: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833FB73">
      <w:pPr>
        <w:pStyle w:val="936"/>
        <w:numPr>
          <w:ilvl w:val="0"/>
          <w:numId w:val="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Правила поиска работы – рекомендации и стратегии эффективного поиска работы.</w:t>
      </w:r>
      <w:r>
        <w:rPr>
          <w:rFonts w:ascii="Times New Roman" w:hAnsi="Times New Roman" w:cs="Times New Roman"/>
          <w:sz w:val="28"/>
          <w:szCs w:val="28"/>
        </w:rPr>
      </w:r>
    </w:p>
    <w:p w14:paraId="2160C5B0">
      <w:pPr>
        <w:pStyle w:val="936"/>
        <w:numPr>
          <w:ilvl w:val="0"/>
          <w:numId w:val="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Требования к оформлению резюме – стандарты и правила составления резюме.</w:t>
      </w:r>
      <w:r>
        <w:rPr>
          <w:rFonts w:ascii="Times New Roman" w:hAnsi="Times New Roman" w:cs="Times New Roman"/>
          <w:sz w:val="28"/>
          <w:szCs w:val="28"/>
        </w:rPr>
      </w:r>
    </w:p>
    <w:p w14:paraId="14C07BCC">
      <w:pPr>
        <w:pStyle w:val="936"/>
        <w:numPr>
          <w:ilvl w:val="0"/>
          <w:numId w:val="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Трудовой кодекс РФ – законодательные нормы, регулирующие трудовые отношения.</w:t>
      </w:r>
      <w:r>
        <w:rPr>
          <w:rFonts w:ascii="Times New Roman" w:hAnsi="Times New Roman" w:cs="Times New Roman"/>
          <w:sz w:val="28"/>
          <w:szCs w:val="28"/>
        </w:rPr>
      </w:r>
    </w:p>
    <w:p w14:paraId="61FBB6E4">
      <w:pPr>
        <w:pStyle w:val="936"/>
        <w:numPr>
          <w:ilvl w:val="0"/>
          <w:numId w:val="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Рыночные стандарты зарплат – информация о среднем уровне оплаты труда по отраслям.</w:t>
      </w:r>
      <w:r>
        <w:rPr>
          <w:rFonts w:ascii="Times New Roman" w:hAnsi="Times New Roman" w:cs="Times New Roman"/>
          <w:sz w:val="28"/>
          <w:szCs w:val="28"/>
        </w:rPr>
      </w:r>
    </w:p>
    <w:p w14:paraId="51DE5E83"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Механизмы: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47D5194">
      <w:pPr>
        <w:pStyle w:val="936"/>
        <w:numPr>
          <w:ilvl w:val="0"/>
          <w:numId w:val="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Соискатель (пользователь) – лицо, осуществляющее поиск работы.</w:t>
      </w:r>
      <w:r>
        <w:rPr>
          <w:rFonts w:ascii="Times New Roman" w:hAnsi="Times New Roman" w:cs="Times New Roman"/>
          <w:sz w:val="28"/>
          <w:szCs w:val="28"/>
        </w:rPr>
      </w:r>
    </w:p>
    <w:p w14:paraId="39EA9AE9">
      <w:pPr>
        <w:pStyle w:val="936"/>
        <w:numPr>
          <w:ilvl w:val="0"/>
          <w:numId w:val="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Компьютер – технические средство для работы с системой.</w:t>
      </w:r>
      <w:r>
        <w:rPr>
          <w:rFonts w:ascii="Times New Roman" w:hAnsi="Times New Roman" w:cs="Times New Roman"/>
          <w:sz w:val="28"/>
          <w:szCs w:val="28"/>
        </w:rPr>
      </w:r>
    </w:p>
    <w:p w14:paraId="51D01BFE">
      <w:pPr>
        <w:pStyle w:val="936"/>
        <w:numPr>
          <w:ilvl w:val="0"/>
          <w:numId w:val="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База данных – система хранения информации о вакансиях.</w:t>
      </w:r>
      <w:r>
        <w:rPr>
          <w:rFonts w:ascii="Times New Roman" w:hAnsi="Times New Roman" w:cs="Times New Roman"/>
          <w:sz w:val="28"/>
          <w:szCs w:val="28"/>
        </w:rPr>
      </w:r>
    </w:p>
    <w:p w14:paraId="7C69D774">
      <w:pPr>
        <w:pStyle w:val="936"/>
        <w:numPr>
          <w:ilvl w:val="0"/>
          <w:numId w:val="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Интернет-браузер – программное обеспечение для доступа к сайтам вакансий.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66CA9DF"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Выходные данные: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03B1343">
      <w:pPr>
        <w:pStyle w:val="936"/>
        <w:numPr>
          <w:ilvl w:val="0"/>
          <w:numId w:val="6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Структурированный список вакансий – систематизированная база данных о всех найденных вакансиях с указанием статусов.</w:t>
      </w:r>
      <w:r>
        <w:rPr>
          <w:rFonts w:ascii="Times New Roman" w:hAnsi="Times New Roman" w:cs="Times New Roman"/>
          <w:sz w:val="28"/>
          <w:szCs w:val="28"/>
        </w:rPr>
      </w:r>
    </w:p>
    <w:p w14:paraId="530AD9B8">
      <w:pPr>
        <w:pStyle w:val="936"/>
        <w:numPr>
          <w:ilvl w:val="0"/>
          <w:numId w:val="6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Отчет по статусам откликов – информация о количестве отправленных резюме, полученных ответов, назначенных собеседований.</w:t>
      </w:r>
      <w:r>
        <w:rPr>
          <w:rFonts w:ascii="Times New Roman" w:hAnsi="Times New Roman" w:cs="Times New Roman"/>
          <w:sz w:val="28"/>
          <w:szCs w:val="28"/>
        </w:rPr>
      </w:r>
    </w:p>
    <w:p w14:paraId="62DC1D9E">
      <w:pPr>
        <w:pStyle w:val="936"/>
        <w:numPr>
          <w:ilvl w:val="0"/>
          <w:numId w:val="6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Напоминания о собеседованиях – уведомления о предстоящих встречах с работодателями.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9130134"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550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937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255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35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8C22D79"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Рис.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Контекстная диаграмма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IDEF A-0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Декомпозиция диаграммы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IDEF0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689C6E0">
      <w:pPr>
        <w:pBdr/>
        <w:shd w:val="nil" w:color="auto"/>
        <w:spacing w:after="0"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CC1054F">
      <w:pPr>
        <w:pBdr/>
        <w:spacing w:after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5BFB154E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Блок диаграммы: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4677" w:type="dxa"/>
          </w:tcPr>
          <w:p w14:paraId="575CB171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Описание: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77" w:type="dxa"/>
          </w:tcPr>
          <w:p w14:paraId="57BC77B6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 w:bidi="en-US"/>
              </w:rPr>
              <w:t xml:space="preserve">A1.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Регистрация вакансии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4677" w:type="dxa"/>
          </w:tcPr>
          <w:p w14:paraId="688AFCD0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Получение информации о новой вакансии с сайтов по трудоустройству или от знакомых. Внесение основных данных в систему: название должности, компания, зарплата, требования, ссылка на вакансию. На выходе – новая запись в базе данных со статусом «Новая».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4677" w:type="dxa"/>
          </w:tcPr>
          <w:p w14:paraId="2A14DD2A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 w:bidi="en-US"/>
              </w:rPr>
              <w:t xml:space="preserve">A2.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Обработка и отклик.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4677" w:type="dxa"/>
          </w:tcPr>
          <w:p w14:paraId="62F84740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Анализ требований вакансии, адаптация резюме под конкретную должность, написание сопроводительного письма. Отправка резюме через сайт или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. Изменение статуса вакансии на «Отправлено». Фиксация даты отклика.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>
          <w:trHeight w:val="1779"/>
        </w:trPr>
        <w:tc>
          <w:tcPr>
            <w:tcBorders/>
            <w:tcW w:w="4677" w:type="dxa"/>
          </w:tcPr>
          <w:p w14:paraId="3EEC71EC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 w:bidi="en-US"/>
              </w:rPr>
              <w:t xml:space="preserve">A3.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Мониторинг статуса.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4677" w:type="dxa"/>
          </w:tcPr>
          <w:p w14:paraId="26EAB4F5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Отслеживание реакции работодателя на отклик: получение приглашения на собеседование, отказ или отсутствие ответа. Внесение информации о назначенных собеседованиях (дата, время, формат, контактное лицо). Обновление статуса вакансии («Собеседование», «Отказ», «Оффер»).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4677" w:type="dxa"/>
          </w:tcPr>
          <w:p w14:paraId="64F1B0F9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 w:bidi="en-US"/>
              </w:rPr>
              <w:t xml:space="preserve">A4.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Составить отчет по поливам.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4677" w:type="dxa"/>
          </w:tcPr>
          <w:p w14:paraId="0D55C89E">
            <w:pPr>
              <w:pBdr/>
              <w:spacing w:line="360" w:lineRule="auto"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Агрегация всех записей за заданный период, расчет суммарного расхода воды, количества поливов и отклонений от плана. Формирования итоговых документов (акты, отчет по расходу воды).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</w:tbl>
    <w:p w14:paraId="149488C5">
      <w:pPr>
        <w:pBdr/>
        <w:spacing w:after="0" w:line="360" w:lineRule="auto"/>
        <w:ind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0E9202">
      <w:pPr>
        <w:pBdr/>
        <w:spacing w:after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9740" cy="46311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706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359739" cy="4631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2.03pt;height:364.6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A0FD738"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Рис. 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Диаграмма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IDEF1.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112E702">
      <w:pPr>
        <w:pBdr/>
        <w:spacing w:after="0" w:line="360" w:lineRule="auto"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Глоссарий терминов: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79B81E">
      <w:pPr>
        <w:pBdr/>
        <w:shd w:val="nil" w:color="auto"/>
        <w:spacing w:after="0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F43B1AA">
      <w:pPr>
        <w:pBdr/>
        <w:spacing w:after="0" w:line="360" w:lineRule="auto"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735688C0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Термин: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4677" w:type="dxa"/>
          </w:tcPr>
          <w:p w14:paraId="0892D45C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Определение: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</w:tcPr>
          <w:p w14:paraId="2D742CAD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Учет полива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4677" w:type="dxa"/>
          </w:tcPr>
          <w:p w14:paraId="357D7021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Регистрация и контроль орошения растений.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</w:tcPr>
          <w:p w14:paraId="1014C010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Норма полива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4677" w:type="dxa"/>
          </w:tcPr>
          <w:p w14:paraId="053C9040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Правило – когда и сколько поливать.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</w:tcPr>
          <w:p w14:paraId="63DDD3ED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Акт полив.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4677" w:type="dxa"/>
          </w:tcPr>
          <w:p w14:paraId="7BD1803A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Документ об одном выполненном поливе.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</w:tcPr>
          <w:p w14:paraId="7985ADC3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Отчет по расходу воды.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4677" w:type="dxa"/>
          </w:tcPr>
          <w:p w14:paraId="75C068EF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Сводка за месяц (сколько литров ушло)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</w:tcPr>
          <w:p w14:paraId="513FE43E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Корректировка графика.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4677" w:type="dxa"/>
            <w:vMerge w:val="restart"/>
          </w:tcPr>
          <w:p w14:paraId="50304D92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Изменение расписания полива.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</w:tcPr>
          <w:p w14:paraId="0611908B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Датчик влажности 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  <w:t xml:space="preserve">/ 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  <w:t xml:space="preserve">ручной влагомер.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4677" w:type="dxa"/>
            <w:vMerge w:val="restart"/>
          </w:tcPr>
          <w:p w14:paraId="4876003B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Устройство, измеряющее сухость воды.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</w:tcPr>
          <w:p w14:paraId="100134CC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  <w:t xml:space="preserve">IDEF0.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4677" w:type="dxa"/>
            <w:vMerge w:val="restart"/>
          </w:tcPr>
          <w:p w14:paraId="53F6D507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Метод функционального моделирования процессов полива растений, отражающий основные функции системы и потоки данных между ними.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</w:tcPr>
          <w:p w14:paraId="3607CD00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  <w:t xml:space="preserve">IDEF1.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4677" w:type="dxa"/>
            <w:vMerge w:val="restart"/>
          </w:tcPr>
          <w:p w14:paraId="406A1BB8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Метод функционального моделирования базы данных полива растений, описывающий сущности и связи между ними. 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</w:tcPr>
          <w:p w14:paraId="06248D2A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  <w:t xml:space="preserve">Контекстная диаграмма.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4677" w:type="dxa"/>
            <w:vMerge w:val="restart"/>
          </w:tcPr>
          <w:p w14:paraId="7C57E7AF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Диаграмма, показывающая полива растений как единую систему и его взаимодействие с пользователем, датчиками и самой системой.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</w:tcPr>
          <w:p w14:paraId="60A251C3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  <w:t xml:space="preserve">Диаграмма декомпозиции.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4677" w:type="dxa"/>
            <w:vMerge w:val="restart"/>
          </w:tcPr>
          <w:p w14:paraId="412C1BE3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  <w:t xml:space="preserve">Диаграмма, раскрывающая внутреннюю структуру полива растений путем разбиения основных функций на подфункции.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</w:p>
        </w:tc>
      </w:tr>
    </w:tbl>
    <w:p w14:paraId="5A29AA82">
      <w:pPr>
        <w:pBdr/>
        <w:spacing w:after="0" w:line="360" w:lineRule="auto"/>
        <w:ind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F64A42">
    <w:pPr>
      <w:pStyle w:val="909"/>
      <w:pBdr/>
      <w:spacing/>
      <w:ind/>
      <w:jc w:val="center"/>
      <w:rPr/>
    </w:pPr>
    <w:r/>
    <w:r/>
  </w:p>
  <w:p w14:paraId="5CC0D741">
    <w:pPr>
      <w:pStyle w:val="90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CFBC1F">
    <w:pPr>
      <w:pStyle w:val="90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66B870">
    <w:pPr>
      <w:pStyle w:val="90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9E639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29F50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43A18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3B692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CC689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F4642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1"/>
    <w:basedOn w:val="932"/>
    <w:next w:val="932"/>
    <w:link w:val="8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4">
    <w:name w:val="Heading 2"/>
    <w:basedOn w:val="932"/>
    <w:next w:val="932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32"/>
    <w:next w:val="932"/>
    <w:link w:val="8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32"/>
    <w:next w:val="932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32"/>
    <w:next w:val="932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32"/>
    <w:next w:val="932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32"/>
    <w:next w:val="932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2"/>
    <w:next w:val="932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2"/>
    <w:next w:val="932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character" w:styleId="883">
    <w:name w:val="Heading 1 Char"/>
    <w:basedOn w:val="882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882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88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88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88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32"/>
    <w:next w:val="932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882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32"/>
    <w:next w:val="932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882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32"/>
    <w:next w:val="932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2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932"/>
    <w:next w:val="932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882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2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932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882"/>
    <w:link w:val="907"/>
    <w:uiPriority w:val="99"/>
    <w:pPr>
      <w:pBdr/>
      <w:spacing/>
      <w:ind/>
    </w:pPr>
  </w:style>
  <w:style w:type="paragraph" w:styleId="909">
    <w:name w:val="Footer"/>
    <w:basedOn w:val="932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Footer Char"/>
    <w:basedOn w:val="882"/>
    <w:link w:val="909"/>
    <w:uiPriority w:val="99"/>
    <w:pPr>
      <w:pBdr/>
      <w:spacing/>
      <w:ind/>
    </w:pPr>
  </w:style>
  <w:style w:type="paragraph" w:styleId="911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2">
    <w:name w:val="footnote text"/>
    <w:basedOn w:val="932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882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32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88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9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1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2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3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4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5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6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7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8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9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paragraph" w:styleId="935">
    <w:name w:val="No Spacing"/>
    <w:basedOn w:val="932"/>
    <w:uiPriority w:val="1"/>
    <w:qFormat/>
    <w:pPr>
      <w:pBdr/>
      <w:spacing w:after="0" w:line="240" w:lineRule="auto"/>
      <w:ind/>
    </w:pPr>
  </w:style>
  <w:style w:type="paragraph" w:styleId="936">
    <w:name w:val="List Paragraph"/>
    <w:basedOn w:val="93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2026-06-22T04:48:25Z</dcterms:modified>
</cp:coreProperties>
</file>