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План: AI-інвесткомітет для біотеху (7 днів, команда 5)</w:t>
      </w:r>
    </w:p>
    <w:p>
      <w:pPr/>
      <w:r>
        <w:t xml:space="preserve">Oct 3, 2026</w:t>
      </w:r>
      <w:r>
        <w:t xml:space="preserve"> · </w:t>
      </w:r>
      <w:r>
        <w:t xml:space="preserve">@Andr</w:t>
      </w:r>
    </w:p>
    <w:p>
      <w:pPr/>
      <w:r>
        <w:t xml:space="preserve">Мета — за 7 днів зібрати систему, яка на вхід бере Disease/Indication + Mechanism/target, а на вихід дає інвестзвіт (Invest / Conditional / Do Not Invest) з розмежуванням evidence та AI inference по кожному висновку. Акцент плану — вайб-кодинг: що саме доручати LLM генерувати, а що робити вручну.</w:t>
      </w:r>
    </w:p>
    <w:p>
      <w:pPr>
        <w:pStyle w:val="Heading2"/>
      </w:pPr>
      <w:r>
        <w:t xml:space="preserve">Команда і ролі</w:t>
      </w:r>
    </w:p>
    <w:p>
      <w:pPr/>
      <w:r>
        <w:t xml:space="preserve">П'ять людей — п'ять постійних ролей, без ротації (ротація посеред 7 днів коштує дорожче, ніж здається). Кожна роль відповідає за один блок джерел і один розділ фінального звіту.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Роль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Відповідає за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Основні джерела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Вихід для звіту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Тімлід / Голова комітету</w:t>
            </w:r>
          </w:p>
        </w:tc>
        <w:tc>
          <w:tcPr>
            <w:tcW w:w="2340" w:type="dxa"/>
          </w:tcPr>
          <w:p>
            <w:pPr/>
            <w:r>
              <w:t xml:space="preserve">Фінальний синтез, вердикт (Invest/Conditional/Do Not Invest), risk-adjusted return</w:t>
            </w:r>
          </w:p>
        </w:tc>
        <w:tc>
          <w:tcPr>
            <w:tcW w:w="2340" w:type="dxa"/>
          </w:tcPr>
          <w:p>
            <w:pPr/>
            <w:r>
              <w:t xml:space="preserve">— (агрегує роботу інших)</w:t>
            </w:r>
          </w:p>
        </w:tc>
        <w:tc>
          <w:tcPr>
            <w:tcW w:w="2340" w:type="dxa"/>
          </w:tcPr>
          <w:p>
            <w:pPr/>
            <w:r>
              <w:t xml:space="preserve">Executive summary + вердикт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Науковий аналітик</w:t>
            </w:r>
          </w:p>
        </w:tc>
        <w:tc>
          <w:tcPr>
            <w:tcW w:w="2340" w:type="dxa"/>
          </w:tcPr>
          <w:p>
            <w:pPr/>
            <w:r>
              <w:t xml:space="preserve">Біологічна валідація мішені, human translation thesis</w:t>
            </w:r>
          </w:p>
        </w:tc>
        <w:tc>
          <w:tcPr>
            <w:tcW w:w="2340" w:type="dxa"/>
          </w:tcPr>
          <w:p>
            <w:pPr/>
            <w:r>
              <w:t xml:space="preserve">PubMed, Open Targets</w:t>
            </w:r>
          </w:p>
        </w:tc>
        <w:tc>
          <w:tcPr>
            <w:tcW w:w="2340" w:type="dxa"/>
          </w:tcPr>
          <w:p>
            <w:pPr/>
            <w:r>
              <w:t xml:space="preserve">Розділ Biological Validation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Клінічний аналітик</w:t>
            </w:r>
          </w:p>
        </w:tc>
        <w:tc>
          <w:tcPr>
            <w:tcW w:w="2340" w:type="dxa"/>
          </w:tcPr>
          <w:p>
            <w:pPr/>
            <w:r>
              <w:t xml:space="preserve">Стадія розробки, дизайн випробувань, конкуруючі трайли</w:t>
            </w:r>
          </w:p>
        </w:tc>
        <w:tc>
          <w:tcPr>
            <w:tcW w:w="2340" w:type="dxa"/>
          </w:tcPr>
          <w:p>
            <w:pPr/>
            <w:r>
              <w:t xml:space="preserve">ClinicalTrials.gov, AACT</w:t>
            </w:r>
          </w:p>
        </w:tc>
        <w:tc>
          <w:tcPr>
            <w:tcW w:w="2340" w:type="dxa"/>
          </w:tcPr>
          <w:p>
            <w:pPr/>
            <w:r>
              <w:t xml:space="preserve">Розділ Clinical Risk + Landscape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Комерційний аналітик</w:t>
            </w:r>
          </w:p>
        </w:tc>
        <w:tc>
          <w:tcPr>
            <w:tcW w:w="2340" w:type="dxa"/>
          </w:tcPr>
          <w:p>
            <w:pPr/>
            <w:r>
              <w:t xml:space="preserve">Unmet need, ринок, капітал — офіційного джерела немає, рахує на похідних даних + явно позначеному inference</w:t>
            </w:r>
          </w:p>
        </w:tc>
        <w:tc>
          <w:tcPr>
            <w:tcW w:w="2340" w:type="dxa"/>
          </w:tcPr>
          <w:p>
            <w:pPr/>
            <w:r>
              <w:t xml:space="preserve">Похідні з AACT/Open Targets (конкуренти), далі оцінка моделі</w:t>
            </w:r>
          </w:p>
        </w:tc>
        <w:tc>
          <w:tcPr>
            <w:tcW w:w="2340" w:type="dxa"/>
          </w:tcPr>
          <w:p>
            <w:pPr/>
            <w:r>
              <w:t xml:space="preserve">Розділ Market &amp; Capital (переважно inference)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Інженер пайплайну</w:t>
            </w:r>
          </w:p>
        </w:tc>
        <w:tc>
          <w:tcPr>
            <w:tcW w:w="2340" w:type="dxa"/>
          </w:tcPr>
          <w:p>
            <w:pPr/>
            <w:r>
              <w:t xml:space="preserve">Код, інтеграції з API/AACT, промпт-ланцюжок, evidence/inference-формат, стабільність демо</w:t>
            </w:r>
          </w:p>
        </w:tc>
        <w:tc>
          <w:tcPr>
            <w:tcW w:w="2340" w:type="dxa"/>
          </w:tcPr>
          <w:p>
            <w:pPr/>
            <w:r>
              <w:t xml:space="preserve">— (vibe-coding усього пайплайну)</w:t>
            </w:r>
          </w:p>
        </w:tc>
        <w:tc>
          <w:tcPr>
            <w:tcW w:w="2340" w:type="dxa"/>
          </w:tcPr>
          <w:p>
            <w:pPr/>
            <w:r>
              <w:t xml:space="preserve">Працездатна система</w:t>
            </w:r>
          </w:p>
        </w:tc>
      </w:tr>
    </w:tbl>
    <w:p>
      <w:pPr/>
      <w:r>
        <w:t xml:space="preserve">Інженер пайплайну — єдина роль, яка фізично не встигне заглибитись у фармакологію за 7 днів, тож інші чотири повинні самі перевіряти вихід своїх промптів, а не покладатися на те, що LLM «і так знає біологію».</w:t>
      </w:r>
    </w:p>
    <w:p>
      <w:pPr/>
      <w:r>
        <w:rPr>
          <w:b/>
        </w:rPr>
        <w:t xml:space="preserve">Як 5 ролей покривають 7 обов'язкових вимірів.</w:t>
      </w:r>
      <w:r>
        <w:t xml:space="preserve"> Уточнення до завдання вимагає зв'язати biology, human translation, clinical development, competition, commercial value, regulations, investment return — не як сім окремих розділів, а як ланцюжок, де висновок одного виміру є вхідними даними наступного.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Вимір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Хто рахує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Що передає далі в ланцюжку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Biology</w:t>
            </w:r>
          </w:p>
        </w:tc>
        <w:tc>
          <w:tcPr>
            <w:tcW w:w="3120" w:type="dxa"/>
          </w:tcPr>
          <w:p>
            <w:pPr/>
            <w:r>
              <w:t xml:space="preserve">Науковий аналітик</w:t>
            </w:r>
          </w:p>
        </w:tc>
        <w:tc>
          <w:tcPr>
            <w:tcW w:w="3120" w:type="dxa"/>
          </w:tcPr>
          <w:p>
            <w:pPr/>
            <w:r>
              <w:t xml:space="preserve">Силу біологічного обґрунтування мішені (Open Targets score)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Human translation</w:t>
            </w:r>
          </w:p>
        </w:tc>
        <w:tc>
          <w:tcPr>
            <w:tcW w:w="3120" w:type="dxa"/>
          </w:tcPr>
          <w:p>
            <w:pPr/>
            <w:r>
              <w:t xml:space="preserve">Науковий аналітик</w:t>
            </w:r>
          </w:p>
        </w:tc>
        <w:tc>
          <w:tcPr>
            <w:tcW w:w="3120" w:type="dxa"/>
          </w:tcPr>
          <w:p>
            <w:pPr/>
            <w:r>
              <w:t xml:space="preserve">Чи підтверджена мішень на людях (генетичні докази Open Targets, публікації PubMed) → ймовірність клінічного успіху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Clinical development</w:t>
            </w:r>
          </w:p>
        </w:tc>
        <w:tc>
          <w:tcPr>
            <w:tcW w:w="3120" w:type="dxa"/>
          </w:tcPr>
          <w:p>
            <w:pPr/>
            <w:r>
              <w:t xml:space="preserve">Клінічний аналітик</w:t>
            </w:r>
          </w:p>
        </w:tc>
        <w:tc>
          <w:tcPr>
            <w:tcW w:w="3120" w:type="dxa"/>
          </w:tcPr>
          <w:p>
            <w:pPr/>
            <w:r>
              <w:t xml:space="preserve">Стадія, дизайн, статус випробувань (ClinicalTrials.gov) → PTRS по фазах → ризик для фінмоделі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Regulations</w:t>
            </w:r>
          </w:p>
        </w:tc>
        <w:tc>
          <w:tcPr>
            <w:tcW w:w="3120" w:type="dxa"/>
          </w:tcPr>
          <w:p>
            <w:pPr/>
            <w:r>
              <w:t xml:space="preserve">Клінічний аналітик</w:t>
            </w:r>
          </w:p>
        </w:tc>
        <w:tc>
          <w:tcPr>
            <w:tcW w:w="3120" w:type="dxa"/>
          </w:tcPr>
          <w:p>
            <w:pPr/>
            <w:r>
              <w:t xml:space="preserve">Офіційного джерела немає — типовий регуляторний шлях для цього класу препаратів позначається як inference, не evidence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Competition</w:t>
            </w:r>
          </w:p>
        </w:tc>
        <w:tc>
          <w:tcPr>
            <w:tcW w:w="3120" w:type="dxa"/>
          </w:tcPr>
          <w:p>
            <w:pPr/>
            <w:r>
              <w:t xml:space="preserve">Комерційний аналітик</w:t>
            </w:r>
          </w:p>
        </w:tc>
        <w:tc>
          <w:tcPr>
            <w:tcW w:w="3120" w:type="dxa"/>
          </w:tcPr>
          <w:p>
            <w:pPr/>
            <w:r>
              <w:t xml:space="preserve">Кількість і фаза конкуруючих випробувань на ту саму мішень/хворобу з AACT + відомі препарати з Open Targets → досяжна частка ринку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Commercial value</w:t>
            </w:r>
          </w:p>
        </w:tc>
        <w:tc>
          <w:tcPr>
            <w:tcW w:w="3120" w:type="dxa"/>
          </w:tcPr>
          <w:p>
            <w:pPr/>
            <w:r>
              <w:t xml:space="preserve">Комерційний аналітик</w:t>
            </w:r>
          </w:p>
        </w:tc>
        <w:tc>
          <w:tcPr>
            <w:tcW w:w="3120" w:type="dxa"/>
          </w:tcPr>
          <w:p>
            <w:pPr/>
            <w:r>
              <w:t xml:space="preserve">Розмір ринку, ціна, unmet need — офіційного джерела немає, inference з явно низькою впевненістю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Investment return</w:t>
            </w:r>
          </w:p>
        </w:tc>
        <w:tc>
          <w:tcPr>
            <w:tcW w:w="3120" w:type="dxa"/>
          </w:tcPr>
          <w:p>
            <w:pPr/>
            <w:r>
              <w:t xml:space="preserve">Голова комітету</w:t>
            </w:r>
          </w:p>
        </w:tc>
        <w:tc>
          <w:tcPr>
            <w:tcW w:w="3120" w:type="dxa"/>
          </w:tcPr>
          <w:p>
            <w:pPr/>
            <w:r>
              <w:t xml:space="preserve">PTRS × пікові продажі (здебільшого inference) − необхідний капітал → risk-adjusted return і вердикт, із застереженням про якість вхідних даних</w:t>
            </w:r>
          </w:p>
        </w:tc>
      </w:tr>
    </w:tbl>
    <w:p>
      <w:pPr/>
      <w:r>
        <w:t xml:space="preserve">Якщо агент видає цифру, не пояснивши, звідки вона тягнеться в наступний крок — це і є той «розрізнений» звіт, якого уникає журі.</w:t>
      </w:r>
    </w:p>
    <w:p>
      <w:pPr>
        <w:pStyle w:val="Heading2"/>
      </w:pPr>
      <w:r>
        <w:t xml:space="preserve">Архітектура пайплайну</w:t>
      </w:r>
    </w:p>
    <w:p>
      <w:pPr/>
      <w:r>
        <w:drawing>
          <wp:inline distT="0" distB="0" distL="0" distR="0">
            <wp:extent cx="5486400" cy="3371850"/>
            <wp:docPr id="1" name="image1" descr="пайплайн: 3 агенти паралельно → голова комітету → звіт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пайплайн: 3 агенти паралельно → голова комітету → звіт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пайплайн: 3 агенти паралельно → голова комітету → звіт</w:t>
      </w:r>
    </w:p>
    <w:p>
      <w:pPr/>
      <w:r>
        <w:t xml:space="preserve">Вхід паралельно розходиться на трьох спеціалізованих агентів; голова комітету зводить їхні claims (evidence + inference) у фінальний звіт.</w:t>
      </w:r>
    </w:p>
    <w:p>
      <w:pPr>
        <w:pStyle w:val="Heading2"/>
      </w:pPr>
      <w:r>
        <w:t xml:space="preserve">Джерела даних: лише ці чотири</w:t>
      </w:r>
    </w:p>
    <w:p>
      <w:pPr/>
      <w:r>
        <w:t xml:space="preserve">Вам явно вказали використовувати саме ці джерела — це звужує список із попередньої версії плану. FDA/EMA, патенти, epidemiology/pricing, bioRxiv/medRxiv, UniProt, Reactome, GWAS Catalog, company filings більше не обов'язкові; лишайте їх як опційні, якщо залишиться час і журі не заперечує.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Джерело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Що беремо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Як дістати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Агент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PubMed</w:t>
            </w:r>
          </w:p>
        </w:tc>
        <w:tc>
          <w:tcPr>
            <w:tcW w:w="2340" w:type="dxa"/>
          </w:tcPr>
          <w:p>
            <w:pPr/>
            <w:r>
              <w:t xml:space="preserve">Публікації, абстракти, рівень доказовості механізму</w:t>
            </w:r>
          </w:p>
        </w:tc>
        <w:tc>
          <w:tcPr>
            <w:tcW w:w="2340" w:type="dxa"/>
          </w:tcPr>
          <w:p>
            <w:pPr/>
            <w:r>
              <w:t xml:space="preserve">E-utilities API (esearch/efetch), безкоштовно, без ключа</w:t>
            </w:r>
          </w:p>
        </w:tc>
        <w:tc>
          <w:tcPr>
            <w:tcW w:w="2340" w:type="dxa"/>
          </w:tcPr>
          <w:p>
            <w:pPr/>
            <w:r>
              <w:t xml:space="preserve">Науковий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Open Targets</w:t>
            </w:r>
          </w:p>
        </w:tc>
        <w:tc>
          <w:tcPr>
            <w:tcW w:w="2340" w:type="dxa"/>
          </w:tcPr>
          <w:p>
            <w:pPr/>
            <w:r>
              <w:t xml:space="preserve">Target-disease association score, генетичні докази, відомі препарати на цю мішень (= конкуренти)</w:t>
            </w:r>
          </w:p>
        </w:tc>
        <w:tc>
          <w:tcPr>
            <w:tcW w:w="2340" w:type="dxa"/>
          </w:tcPr>
          <w:p>
            <w:pPr/>
            <w:r>
              <w:t xml:space="preserve">GraphQL API platform.opentargets.org</w:t>
            </w:r>
          </w:p>
        </w:tc>
        <w:tc>
          <w:tcPr>
            <w:tcW w:w="2340" w:type="dxa"/>
          </w:tcPr>
          <w:p>
            <w:pPr/>
            <w:r>
              <w:t xml:space="preserve">Науковий (+ Комерційний для конкурентів)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ClinicalTrials.gov</w:t>
            </w:r>
          </w:p>
        </w:tc>
        <w:tc>
          <w:tcPr>
            <w:tcW w:w="2340" w:type="dxa"/>
          </w:tcPr>
          <w:p>
            <w:pPr/>
            <w:r>
              <w:t xml:space="preserve">Фаза, статус, дизайн, кінцеві точки ОДНОГО конкретного випробування</w:t>
            </w:r>
          </w:p>
        </w:tc>
        <w:tc>
          <w:tcPr>
            <w:tcW w:w="2340" w:type="dxa"/>
          </w:tcPr>
          <w:p>
            <w:pPr/>
            <w:r>
              <w:t xml:space="preserve">API v2 (clinicaltrials.gov/api/v2)</w:t>
            </w:r>
          </w:p>
        </w:tc>
        <w:tc>
          <w:tcPr>
            <w:tcW w:w="2340" w:type="dxa"/>
          </w:tcPr>
          <w:p>
            <w:pPr/>
            <w:r>
              <w:t xml:space="preserve">Клінічний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AACT</w:t>
            </w:r>
          </w:p>
        </w:tc>
        <w:tc>
          <w:tcPr>
            <w:tcW w:w="2340" w:type="dxa"/>
          </w:tcPr>
          <w:p>
            <w:pPr/>
            <w:r>
              <w:t xml:space="preserve">Структурована БД УСІХ випробувань ClinicalTrials.gov (таблиці studies, sponsors, conditions, interventions) — для агрегованих запитів типу "скільки конкурентів у цій ніші"</w:t>
            </w:r>
          </w:p>
        </w:tc>
        <w:tc>
          <w:tcPr>
            <w:tcW w:w="2340" w:type="dxa"/>
          </w:tcPr>
          <w:p>
            <w:pPr/>
            <w:r>
              <w:t xml:space="preserve">(1) PostgreSQL aact-db.ctti-clinicaltrials.org, потрібна безкоштовна реєстрація; (2) простіше — статичні flat-файли (щотижневий дамп) з aact.ctti-clinicaltrials.org, без live-з'єднання, надійніше для демо</w:t>
            </w:r>
          </w:p>
        </w:tc>
        <w:tc>
          <w:tcPr>
            <w:tcW w:w="2340" w:type="dxa"/>
          </w:tcPr>
          <w:p>
            <w:pPr/>
            <w:r>
              <w:t xml:space="preserve">Клінічний (дизайн) + Комерційний (конкуренти через sponsors)</w:t>
            </w:r>
          </w:p>
        </w:tc>
      </w:tr>
    </w:tbl>
    <w:p>
      <w:pPr/>
      <w:r>
        <w:t xml:space="preserve">AACT і ClinicalTrials.gov API — не два різні джерела, а один датасет у двох формах: AACT зручний для масових/агрегованих SQL-запитів ("усі випробування за target X"), API ClinicalTrials.gov — для деталей одного дослідження. Не дублюйте роботу — обирайте правильний формат під задачу.</w:t>
      </w:r>
    </w:p>
    <w:p>
      <w:pPr/>
      <w:r>
        <w:t xml:space="preserve">Чого НЕМАЄ серед дозволених джерел: прямого джерела для regulations (рішення FDA/EMA), competition поза клінічними випробуваннями (патенти), commercial value (ціни, розмір ринку), investment return. Це означає, що відповідні claims у звіті майже завжди будуть </w:t>
      </w:r>
      <w:r>
        <w:rPr>
          <w:rStyle w:val="CodeChar"/>
        </w:rPr>
        <w:t xml:space="preserve">type: inference</w:t>
      </w:r>
      <w:r>
        <w:t xml:space="preserve">, а не </w:t>
      </w:r>
      <w:r>
        <w:rPr>
          <w:rStyle w:val="CodeChar"/>
        </w:rPr>
        <w:t xml:space="preserve">evidence</w:t>
      </w:r>
      <w:r>
        <w:t xml:space="preserve"> — і це нормально, якщо чесно позначено, а не видається за факт.</w:t>
      </w:r>
    </w:p>
    <w:p>
      <w:pPr/>
      <w:r>
        <w:t xml:space="preserve">Практична порада для вайп-кодингу: для кожного джерела — окремий невеликий Python-модуль (</w:t>
      </w:r>
      <w:r>
        <w:rPr>
          <w:rStyle w:val="CodeChar"/>
        </w:rPr>
        <w:t xml:space="preserve">fetch_pubmed.py</w:t>
      </w:r>
      <w:r>
        <w:t xml:space="preserve">, </w:t>
      </w:r>
      <w:r>
        <w:rPr>
          <w:rStyle w:val="CodeChar"/>
        </w:rPr>
        <w:t xml:space="preserve">fetch_opentargets.py</w:t>
      </w:r>
      <w:r>
        <w:t xml:space="preserve">, </w:t>
      </w:r>
      <w:r>
        <w:rPr>
          <w:rStyle w:val="CodeChar"/>
        </w:rPr>
        <w:t xml:space="preserve">fetch_clinicaltrials.py</w:t>
      </w:r>
      <w:r>
        <w:t xml:space="preserve">, </w:t>
      </w:r>
      <w:r>
        <w:rPr>
          <w:rStyle w:val="CodeChar"/>
        </w:rPr>
        <w:t xml:space="preserve">fetch_aact.py</w:t>
      </w:r>
      <w:r>
        <w:t xml:space="preserve">), який повертає ОДНАКОВУ структуру </w:t>
      </w:r>
      <w:r>
        <w:rPr>
          <w:rStyle w:val="CodeChar"/>
        </w:rPr>
        <w:t xml:space="preserve">{source, url, date_accessed, raw_snippet}</w:t>
      </w:r>
      <w:r>
        <w:t xml:space="preserve">. Для AACT найпростіше почати зі статичного flat-файлу (без live-з'єднання до бази) — надійніше для демо. Просіть AI генерувати ці модулі по одному й одразу з обробкою помилок (джерело недоступне → повертає </w:t>
      </w:r>
      <w:r>
        <w:rPr>
          <w:rStyle w:val="CodeChar"/>
        </w:rPr>
        <w:t xml:space="preserve">None</w:t>
      </w:r>
      <w:r>
        <w:t xml:space="preserve">, а не падає весь пайплайн).</w:t>
      </w:r>
    </w:p>
    <w:p>
      <w:pPr>
        <w:pStyle w:val="Heading2"/>
      </w:pPr>
      <w:r>
        <w:t xml:space="preserve">Evidence vs AI inference: розмежування не стилістичне, а структурне</w:t>
      </w:r>
    </w:p>
    <w:p>
      <w:pPr/>
      <w:r>
        <w:t xml:space="preserve">Це явна вимога журі, і найпростіше її провалити — написати звіт прозою, де факт і здогад зливаються в одне речення. Рішення: кожне твердження в системі — це об'єкт, а не рядок тексту.</w:t>
      </w:r>
    </w:p>
    <w:p>
      <w:pPr>
        <w:pStyle w:val="Code"/>
      </w:pPr>
      <w:bookmarkStart w:id="1" w:name="bongo_lang_json_1"/>
      <w:bookmarkEnd w:id="1"/>
      <w:r>
        <w:t xml:space="preserve">{"claim": "Експресія мішені підвищена при метастазах", "type": "evidence", "source": "PubMed PMID:12345678", "date_accessed": "2026-10-04", "exact_snippet": "..."}</w:t>
        <w:br/>
        <w:t xml:space="preserve">{"claim": "Це підвищує ймовірність відповіді на терапію в цій підгрупі пацієнтів", "type": "inference", "reasoning": "...", "confidence": "medium"}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type: evidence</w:t>
      </w:r>
      <w:r>
        <w:t xml:space="preserve"> — модель НЕ має права генерувати це поле сама; воно завжди приходить разом з даними з джерела (PubMed, ClinicalTrials.gov тощо), з точним посиланням.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type: inference</w:t>
      </w:r>
      <w:r>
        <w:t xml:space="preserve"> — будь-яке судження, екстраполяція чи оцінка ризику, якої немає буквально в джерелі. Обов'язково короткий reasoning і рівень впевненості (low/medium/high).</w:t>
      </w:r>
    </w:p>
    <w:p>
      <w:pPr>
        <w:pStyle w:val="ListParagraph"/>
        <w:numPr>
          <w:ilvl w:val="0"/>
          <w:numId w:val="2"/>
        </w:numPr>
      </w:pPr>
      <w:r>
        <w:t xml:space="preserve">Фінальний звіт генерується з цих об'єктів форматуванням, а не вільним промптом «напиши звіт»: LLM заповнює шаблон, а не вигадує структуру на льоту. Це і зменшує галюцинації, і автоматично дає трасованість.</w:t>
      </w:r>
    </w:p>
    <w:p>
      <w:pPr>
        <w:pStyle w:val="ListParagraph"/>
        <w:numPr>
          <w:ilvl w:val="0"/>
          <w:numId w:val="2"/>
        </w:numPr>
      </w:pPr>
      <w:r>
        <w:t xml:space="preserve">Голова комітету (агрегувальний агент) має заборону перетворювати inference на evidence при зведенні — технічно це означає окреме поле в фінальному JSON, яке рендериться з іконкою/міткою біля кожного речення звіту.</w:t>
      </w:r>
    </w:p>
    <w:p>
      <w:pPr>
        <w:pStyle w:val="Heading2"/>
      </w:pPr>
      <w:r>
        <w:t xml:space="preserve">Кількісна оцінка невизначеності</w:t>
      </w:r>
    </w:p>
    <w:p>
      <w:pPr/>
      <w:r>
        <w:t xml:space="preserve">Уточнення вимагає не просто список ризиків, а </w:t>
      </w:r>
      <w:r>
        <w:rPr>
          <w:i/>
        </w:rPr>
        <w:t xml:space="preserve">quantify uncertainty where possible</w:t>
      </w:r>
      <w:r>
        <w:t xml:space="preserve"> — тобто кожен головний ризик отримує число, а не прикметник.</w:t>
      </w:r>
    </w:p>
    <w:p>
      <w:pPr/>
      <w:r>
        <w:rPr>
          <w:b/>
        </w:rPr>
        <w:t xml:space="preserve">Методика (спрощена risk-adjusted valuation, достатня для хакатону):</w:t>
      </w:r>
    </w:p>
    <w:p>
      <w:pPr>
        <w:pStyle w:val="ListParagraph"/>
        <w:numPr>
          <w:ilvl w:val="0"/>
          <w:numId w:val="3"/>
        </w:numPr>
      </w:pPr>
      <w:r>
        <w:t xml:space="preserve">Для кожної фази розробки — ймовірність технічного й регуляторного успіху (PTRS), взята з публічних індустріальних бенчмарків успішності за фазами й терапевтичною областю (наприклад, BIO/Informa Clinical Development Success Rates), скоригована вниз/вгору клінічним аналітиком залежно від специфіки мішені — з поясненням чому.</w:t>
      </w:r>
    </w:p>
    <w:p>
      <w:pPr>
        <w:pStyle w:val="ListParagraph"/>
        <w:numPr>
          <w:ilvl w:val="0"/>
          <w:numId w:val="3"/>
        </w:numPr>
      </w:pPr>
      <w:r>
        <w:t xml:space="preserve">rNPV (спрощено) = PTRS (кумулятивна до реєстрації) × Пікові продажі − Необхідний капітал до виходу на ринок. Це дає ОДНЕ число, але воно має супроводжуватись діапазоном (low / base / high), а не точковою оцінкою — точкове число для біотеху на доклінічній/ранній клінічній стадії виглядає непрофесійно для журі з венчурного досвіду.</w:t>
      </w:r>
    </w:p>
    <w:p>
      <w:pPr>
        <w:pStyle w:val="ListParagraph"/>
        <w:numPr>
          <w:ilvl w:val="0"/>
          <w:numId w:val="3"/>
        </w:numPr>
      </w:pPr>
      <w:r>
        <w:t xml:space="preserve">Топ-3-5 ризиків ранжуються за добутком (ймовірність реалізації ризику × вплив на rNPV), не за суб'єктивним відчуттям "це важливо".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Ризик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Ймовірність (джерело оцінки)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Вплив на rNPV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Чому саме так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Провал Фази 2 через відсутність ефекту</w:t>
            </w:r>
          </w:p>
        </w:tc>
        <w:tc>
          <w:tcPr>
            <w:tcW w:w="2340" w:type="dxa"/>
          </w:tcPr>
          <w:p>
            <w:pPr/>
            <w:r>
              <w:t xml:space="preserve">PTRS-бенчмарк для терапевтичної області + клінічний аналітик</w:t>
            </w:r>
          </w:p>
        </w:tc>
        <w:tc>
          <w:tcPr>
            <w:tcW w:w="2340" w:type="dxa"/>
          </w:tcPr>
          <w:p>
            <w:pPr/>
            <w:r>
              <w:t xml:space="preserve">Високий (нуль продажів)</w:t>
            </w:r>
          </w:p>
        </w:tc>
        <w:tc>
          <w:tcPr>
            <w:tcW w:w="2340" w:type="dxa"/>
          </w:tcPr>
          <w:p>
            <w:pPr/>
            <w:r>
              <w:t xml:space="preserve">inference з поясненням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Конкурент виходить на ринок раніше</w:t>
            </w:r>
          </w:p>
        </w:tc>
        <w:tc>
          <w:tcPr>
            <w:tcW w:w="2340" w:type="dxa"/>
          </w:tcPr>
          <w:p>
            <w:pPr/>
            <w:r>
              <w:t xml:space="preserve">Патентний/конкурентний ландшафт</w:t>
            </w:r>
          </w:p>
        </w:tc>
        <w:tc>
          <w:tcPr>
            <w:tcW w:w="2340" w:type="dxa"/>
          </w:tcPr>
          <w:p>
            <w:pPr/>
            <w:r>
              <w:t xml:space="preserve">Середній (менша частка ринку)</w:t>
            </w:r>
          </w:p>
        </w:tc>
        <w:tc>
          <w:tcPr>
            <w:tcW w:w="2340" w:type="dxa"/>
          </w:tcPr>
          <w:p>
            <w:pPr/>
            <w:r>
              <w:t xml:space="preserve">evidence (дати з ClinicalTrials.gov конкурентів)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Регуляторна затримка</w:t>
            </w:r>
          </w:p>
        </w:tc>
        <w:tc>
          <w:tcPr>
            <w:tcW w:w="2340" w:type="dxa"/>
          </w:tcPr>
          <w:p>
            <w:pPr/>
            <w:r>
              <w:t xml:space="preserve">Прецеденти FDA/EMA для класу препаратів</w:t>
            </w:r>
          </w:p>
        </w:tc>
        <w:tc>
          <w:tcPr>
            <w:tcW w:w="2340" w:type="dxa"/>
          </w:tcPr>
          <w:p>
            <w:pPr/>
            <w:r>
              <w:t xml:space="preserve">Середній (пізніший старт продажів)</w:t>
            </w:r>
          </w:p>
        </w:tc>
        <w:tc>
          <w:tcPr>
            <w:tcW w:w="2340" w:type="dxa"/>
          </w:tcPr>
          <w:p>
            <w:pPr/>
            <w:r>
              <w:t xml:space="preserve">evidence + inference</w:t>
            </w:r>
          </w:p>
        </w:tc>
      </w:tr>
    </w:tbl>
    <w:p>
      <w:pPr/>
      <w:r>
        <w:t xml:space="preserve">Ця таблиця — не окрема прикраса, а те, що голова комітету використовує для фінального вердикту: якщо топ-ризик має і високу ймовірність, і високий вплив, вердикт не може бути "Invest" без explicit згадки цього ризику в summary.</w:t>
      </w:r>
    </w:p>
    <w:p>
      <w:pPr>
        <w:pStyle w:val="Heading2"/>
      </w:pPr>
      <w:r>
        <w:t xml:space="preserve">План на 7 днів</w:t>
      </w:r>
    </w:p>
    <w:p>
      <w:pPr/>
      <w:r>
        <w:drawing>
          <wp:inline distT="0" distB="0" distL="0" distR="0">
            <wp:extent cx="5486400" cy="1632857"/>
            <wp:docPr id="2" name="image2" descr="7 днів: скелет → джерела → агенти → стабілізація → демо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7 днів: скелет → джерела → агенти → стабілізація → демо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7 днів: скелет → джерела → агенти → стабілізація → демо</w:t>
      </w:r>
    </w:p>
    <w:p>
      <w:pPr/>
      <w:r>
        <w:t xml:space="preserve">День 1 — наскрізний скелет (всі 5 разом); дні 2-3 — кожен тягне дані зі свого джерела; дні 4-5 — агенти, evidence/inference-схема і голова комітету; день 6 — UI, кешування відповідей, запис відео-бекапу; день 7 — тестування на кількох парах і фінальна демонстрація.</w:t>
      </w:r>
    </w:p>
    <w:p>
      <w:pPr>
        <w:pStyle w:val="Heading2"/>
      </w:pPr>
      <w:r>
        <w:t xml:space="preserve">Vibe-coding підхід: що генерувати, а що не чіпати</w:t>
      </w:r>
    </w:p>
    <w:p>
      <w:pPr/>
      <w:r>
        <w:t xml:space="preserve">Акцент на вайп-кодингу означає, що майже весь код пишеться AI-асистентом (Claude Code, Cursor і т.п.) за вашими промптами. Але вайп-кодинг прискорює написання коду, а не розуміння того, чому він зламався — тому архітектура має бути максимально простою, щоб ви могли її пояснити журі своїми словами.</w:t>
      </w:r>
    </w:p>
    <w:p>
      <w:pPr/>
      <w:r>
        <w:rPr>
          <w:b/>
        </w:rPr>
        <w:t xml:space="preserve">Стек (навмисно мінімальний):</w:t>
      </w:r>
    </w:p>
    <w:p>
      <w:pPr>
        <w:pStyle w:val="ListParagraph"/>
        <w:numPr>
          <w:ilvl w:val="0"/>
          <w:numId w:val="4"/>
        </w:numPr>
      </w:pPr>
      <w:r>
        <w:t xml:space="preserve">Python-бекенд, прямі виклики LLM API (Claude API через </w:t>
      </w:r>
      <w:r>
        <w:rPr>
          <w:rStyle w:val="CodeChar"/>
        </w:rPr>
        <w:t xml:space="preserve">anthropic</w:t>
      </w:r>
      <w:r>
        <w:t xml:space="preserve"> SDK) — без LangChain/CrewAI/LangGraph. Ці фреймворки виглядають солідно в промпті, але додають шар абстракції, яку новачок не відлагодить за ніч.</w:t>
      </w:r>
    </w:p>
    <w:p>
      <w:pPr>
        <w:pStyle w:val="ListParagraph"/>
        <w:numPr>
          <w:ilvl w:val="0"/>
          <w:numId w:val="4"/>
        </w:numPr>
      </w:pPr>
      <w:r>
        <w:t xml:space="preserve">Оркестрація — звичайні Python-функції, що викликаються послідовно: </w:t>
      </w:r>
      <w:r>
        <w:rPr>
          <w:rStyle w:val="CodeChar"/>
        </w:rPr>
        <w:t xml:space="preserve">collect_sources() → scientific_agent() → clinical_agent() → commercial_agent() → chair_agent() → render_report()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UI — Streamlit (найшвидше генерується AI, найменше коду для форми вводу Indication/Mechanism і виводу звіту).</w:t>
      </w:r>
    </w:p>
    <w:p>
      <w:pPr>
        <w:pStyle w:val="ListParagraph"/>
        <w:numPr>
          <w:ilvl w:val="0"/>
          <w:numId w:val="4"/>
        </w:numPr>
      </w:pPr>
      <w:r>
        <w:t xml:space="preserve">Зберігання — JSON-файли на диску, без бази даних.</w:t>
      </w:r>
    </w:p>
    <w:p>
      <w:pPr>
        <w:pStyle w:val="ListParagraph"/>
        <w:numPr>
          <w:ilvl w:val="0"/>
          <w:numId w:val="4"/>
        </w:numPr>
      </w:pPr>
      <w:r>
        <w:t xml:space="preserve">Звіт — Markdown → рендер у PDF (бібліотека типу </w:t>
      </w:r>
      <w:r>
        <w:rPr>
          <w:rStyle w:val="CodeChar"/>
        </w:rPr>
        <w:t xml:space="preserve">weasyprint</w:t>
      </w:r>
      <w:r>
        <w:t xml:space="preserve"> або просто показ у Streamlit) з мітками evidence/inference з попереднього розділу.</w:t>
      </w:r>
    </w:p>
    <w:p>
      <w:pPr/>
      <w:r>
        <w:rPr>
          <w:b/>
        </w:rPr>
        <w:t xml:space="preserve">Що просити у AI-асистента день за днем:</w:t>
      </w:r>
    </w:p>
    <w:p>
      <w:pPr>
        <w:pStyle w:val="ListParagraph"/>
        <w:numPr>
          <w:ilvl w:val="0"/>
          <w:numId w:val="5"/>
        </w:numPr>
      </w:pPr>
      <w:r>
        <w:t xml:space="preserve">"Напиши функцію fetch_pubmed(query) яка звертається до E-utilities API, повертає список {title, pmid, abstract, url}, обробляє rate limit і timeout" — окремо для кожного джерела.</w:t>
      </w:r>
    </w:p>
    <w:p>
      <w:pPr>
        <w:pStyle w:val="ListParagraph"/>
        <w:numPr>
          <w:ilvl w:val="0"/>
          <w:numId w:val="5"/>
        </w:numPr>
      </w:pPr>
      <w:r>
        <w:t xml:space="preserve">"Напиши промпт і функцію scientific_agent(indication, mechanism, sources), яка повертає JSON зі списком claims, кожен з type evidence/inference за цією схемою: ..." (вставити схему з попереднього розділу).</w:t>
      </w:r>
    </w:p>
    <w:p>
      <w:pPr>
        <w:pStyle w:val="ListParagraph"/>
        <w:numPr>
          <w:ilvl w:val="0"/>
          <w:numId w:val="5"/>
        </w:numPr>
      </w:pPr>
      <w:r>
        <w:t xml:space="preserve">"Напиши chair_agent, який об'єднує claims від трьох агентів у фінальний звіт за цим шаблоном Markdown, не змінюючи type жодного claim".</w:t>
      </w:r>
    </w:p>
    <w:p>
      <w:pPr>
        <w:pStyle w:val="ListParagraph"/>
        <w:numPr>
          <w:ilvl w:val="0"/>
          <w:numId w:val="5"/>
        </w:numPr>
      </w:pPr>
      <w:r>
        <w:t xml:space="preserve">Ніколи не просіть "зроби інвестиційну AI-систему" одним промптом — це і є той 8.5/10 ризик: модель згенерує красивий, але непрацюючий або неперевірюваний моноліт.</w:t>
      </w:r>
    </w:p>
    <w:p>
      <w:pPr/>
      <w:r>
        <w:rPr>
          <w:b/>
        </w:rPr>
        <w:t xml:space="preserve">Жорсткі обмеження скоупу (щоб встигнути за 7 днів):</w:t>
      </w:r>
    </w:p>
    <w:p>
      <w:pPr>
        <w:pStyle w:val="ListParagraph"/>
        <w:numPr>
          <w:ilvl w:val="0"/>
          <w:numId w:val="6"/>
        </w:numPr>
      </w:pPr>
      <w:r>
        <w:t xml:space="preserve">Без автентифікації, без бази даних, без Docker.</w:t>
      </w:r>
    </w:p>
    <w:p>
      <w:pPr>
        <w:pStyle w:val="ListParagraph"/>
        <w:numPr>
          <w:ilvl w:val="0"/>
          <w:numId w:val="6"/>
        </w:numPr>
      </w:pPr>
      <w:r>
        <w:t xml:space="preserve">Один happy path: Indication + Mechanism на вході → один повний звіт на виході. Жодних «а що як користувач введе...» — це обробляється вручну (try/except з дружнім повідомленням), не повноцінною валідацією.</w:t>
      </w:r>
    </w:p>
    <w:p>
      <w:pPr>
        <w:pStyle w:val="ListParagraph"/>
        <w:numPr>
          <w:ilvl w:val="0"/>
          <w:numId w:val="6"/>
        </w:numPr>
      </w:pPr>
      <w:r>
        <w:t xml:space="preserve">Кешуйте відповіді кожного API у JSON при першому виклику й використовуйте кеш на демо — не покладайтесь на живий інтернет на сцені.</w:t>
      </w:r>
    </w:p>
    <w:p>
      <w:pPr/>
      <w:r>
        <w:t xml:space="preserve">Система має працювати для БУДЬ-ЯКОЇ хвороби й мішені — це явна вимога завдання, і найлегше її провалити непомітно: промпти параметризуються через Indication і Mechanism/target як змінні, у коді немає розгалужень типу «якщо oncology, то...». На День 7 обов'язково тестуйте на 3+ різнотипних парах (наприклад: онкологія, рідкісна генетична хвороба, CNS-мішень) — якщо система добре відпрацьовує тільки на тестовому прикладі з дня розробки, це і є прихований хардкод.</w:t>
      </w:r>
    </w:p>
    <w:p>
      <w:pPr>
        <w:pStyle w:val="Heading2"/>
      </w:pPr>
      <w:r>
        <w:t xml:space="preserve">Ризики і мітигація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Ризик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Ймовірність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Мітигація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Хтось з команди вставляє помилку в чат, отримує неправильну гіпотезу, ламає ще щось</w:t>
            </w:r>
          </w:p>
        </w:tc>
        <w:tc>
          <w:tcPr>
            <w:tcW w:w="3120" w:type="dxa"/>
          </w:tcPr>
          <w:p>
            <w:pPr/>
            <w:r>
              <w:t xml:space="preserve">Висока</w:t>
            </w:r>
          </w:p>
        </w:tc>
        <w:tc>
          <w:tcPr>
            <w:tcW w:w="3120" w:type="dxa"/>
          </w:tcPr>
          <w:p>
            <w:pPr/>
            <w:r>
              <w:t xml:space="preserve">Правило: 20 хв самостійного дебагу максимум, далі — питати іншого члена команди, не ще 5 разів перепромптовувати той самий чат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EMA/epidemiology/pricing джерела без зручного API з'їдають день 2-3</w:t>
            </w:r>
          </w:p>
        </w:tc>
        <w:tc>
          <w:tcPr>
            <w:tcW w:w="3120" w:type="dxa"/>
          </w:tcPr>
          <w:p>
            <w:pPr/>
            <w:r>
              <w:t xml:space="preserve">Висока</w:t>
            </w:r>
          </w:p>
        </w:tc>
        <w:tc>
          <w:tcPr>
            <w:tcW w:w="3120" w:type="dxa"/>
          </w:tcPr>
          <w:p>
            <w:pPr/>
            <w:r>
              <w:t xml:space="preserve">Для цих джерел — ручний збір 10-15 прикладів у CSV замість live-скрапінгу; чесно позначити в демо як "ручний datasource"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AI-агент "галюцинує" claim без джерела</w:t>
            </w:r>
          </w:p>
        </w:tc>
        <w:tc>
          <w:tcPr>
            <w:tcW w:w="3120" w:type="dxa"/>
          </w:tcPr>
          <w:p>
            <w:pPr/>
            <w:r>
              <w:t xml:space="preserve">Середня-висока</w:t>
            </w:r>
          </w:p>
        </w:tc>
        <w:tc>
          <w:tcPr>
            <w:tcW w:w="3120" w:type="dxa"/>
          </w:tcPr>
          <w:p>
            <w:pPr/>
            <w:r>
              <w:t xml:space="preserve">Схема evidence/inference (розділ вище) + перевірка парсером: якщо type=evidence, поле source обов'язкове, інакше запис відкидається кодом, а не довірою до LLM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Переускладнення архітектури (LangChain/CrewAI, зайві агенти) з'їдає час на відлагодження незрозумілого коду</w:t>
            </w:r>
          </w:p>
        </w:tc>
        <w:tc>
          <w:tcPr>
            <w:tcW w:w="3120" w:type="dxa"/>
          </w:tcPr>
          <w:p>
            <w:pPr/>
            <w:r>
              <w:t xml:space="preserve">Висока</w:t>
            </w:r>
          </w:p>
        </w:tc>
        <w:tc>
          <w:tcPr>
            <w:tcW w:w="3120" w:type="dxa"/>
          </w:tcPr>
          <w:p>
            <w:pPr/>
            <w:r>
              <w:t xml:space="preserve">Жорсткий стек з розділу вище; будь-яка нова залежність — тільки з дозволу тімліда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На демо падає інтернет або rate limit API</w:t>
            </w:r>
          </w:p>
        </w:tc>
        <w:tc>
          <w:tcPr>
            <w:tcW w:w="3120" w:type="dxa"/>
          </w:tcPr>
          <w:p>
            <w:pPr/>
            <w:r>
              <w:t xml:space="preserve">Середня</w:t>
            </w:r>
          </w:p>
        </w:tc>
        <w:tc>
          <w:tcPr>
            <w:tcW w:w="3120" w:type="dxa"/>
          </w:tcPr>
          <w:p>
            <w:pPr/>
            <w:r>
              <w:t xml:space="preserve">Кешовані JSON-відповіді для 2-3 заготовлених пар Indication/Mechanism, відео-бекап записане на День 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Один з 5 джерел виявляється нерелевантним для обраної пари на демо (наприклад, немає GWAS-даних)</w:t>
            </w:r>
          </w:p>
        </w:tc>
        <w:tc>
          <w:tcPr>
            <w:tcW w:w="3120" w:type="dxa"/>
          </w:tcPr>
          <w:p>
            <w:pPr/>
            <w:r>
              <w:t xml:space="preserve">Середня</w:t>
            </w:r>
          </w:p>
        </w:tc>
        <w:tc>
          <w:tcPr>
            <w:tcW w:w="3120" w:type="dxa"/>
          </w:tcPr>
          <w:p>
            <w:pPr/>
            <w:r>
              <w:t xml:space="preserve">Агент повертає "insufficient evidence" замість вигадки — це саме по собі сильний сигнал якості для журі</w:t>
            </w:r>
          </w:p>
        </w:tc>
      </w:tr>
    </w:tbl>
    <w:p>
      <w:pPr>
        <w:pStyle w:val="Heading2"/>
      </w:pPr>
      <w:r>
        <w:t xml:space="preserve">Критерії готовності до демо</w:t>
      </w:r>
    </w:p>
    <w:p>
      <w:pPr>
        <w:pStyle w:val="ListParagraph"/>
        <w:numPr>
          <w:ilvl w:val="0"/>
          <w:numId w:val="7"/>
        </w:numPr>
      </w:pPr>
      <w:r>
        <w:t xml:space="preserve">☐ Система приймає Indication + Mechanism і видає повний звіт від початку до кінця без ручного втручання</w:t>
      </w:r>
    </w:p>
    <w:p>
      <w:pPr>
        <w:pStyle w:val="ListParagraph"/>
        <w:numPr>
          <w:ilvl w:val="0"/>
          <w:numId w:val="7"/>
        </w:numPr>
      </w:pPr>
      <w:r>
        <w:t xml:space="preserve">☐ Кожен claim у звіті позначений evidence або inference, кожен evidence має клікабельне джерело</w:t>
      </w:r>
    </w:p>
    <w:p>
      <w:pPr>
        <w:pStyle w:val="ListParagraph"/>
        <w:numPr>
          <w:ilvl w:val="0"/>
          <w:numId w:val="7"/>
        </w:numPr>
      </w:pPr>
      <w:r>
        <w:t xml:space="preserve">☐ Протестовано мінімум на 3 різних парах indication/mechanism, одна з яких — складний/рідкісний кейс</w:t>
      </w:r>
    </w:p>
    <w:p>
      <w:pPr>
        <w:pStyle w:val="ListParagraph"/>
        <w:numPr>
          <w:ilvl w:val="0"/>
          <w:numId w:val="7"/>
        </w:numPr>
      </w:pPr>
      <w:r>
        <w:t xml:space="preserve">☐ Є кешовані відповіді для пари, яку показуватимете наживо</w:t>
      </w:r>
    </w:p>
    <w:p>
      <w:pPr>
        <w:pStyle w:val="ListParagraph"/>
        <w:numPr>
          <w:ilvl w:val="0"/>
          <w:numId w:val="7"/>
        </w:numPr>
      </w:pPr>
      <w:r>
        <w:t xml:space="preserve">☐ Записане відео-демо як запасний варіант на випадок збою інтернету</w:t>
      </w:r>
    </w:p>
    <w:p>
      <w:pPr>
        <w:pStyle w:val="ListParagraph"/>
        <w:numPr>
          <w:ilvl w:val="0"/>
          <w:numId w:val="7"/>
        </w:numPr>
      </w:pPr>
      <w:r>
        <w:t xml:space="preserve">☐ Звіт містить усі mandatory-пункти: вердикт, ризики, комерційний потенціал, витрати, посилання</w:t>
      </w:r>
    </w:p>
    <w:p>
      <w:pPr>
        <w:pStyle w:val="ListParagraph"/>
        <w:numPr>
          <w:ilvl w:val="0"/>
          <w:numId w:val="7"/>
        </w:numPr>
      </w:pPr>
      <w:r>
        <w:t xml:space="preserve">☐ Жоден член команди не показує код, якого він не може пояснити своїми словами за 1 хвилину</w:t>
      </w:r>
    </w:p>
    <w:p>
      <w:pPr>
        <w:pStyle w:val="ListParagraph"/>
        <w:numPr>
          <w:ilvl w:val="0"/>
          <w:numId w:val="8"/>
        </w:numPr>
      </w:pPr>
      <w:r>
        <w:t xml:space="preserve">☐ Перевірено на 3+ різнотипних парах indication/mechanism (не лише "домашній" приклад з дня розробки)</w:t>
      </w:r>
    </w:p>
    <w:p>
      <w:pPr>
        <w:pStyle w:val="ListParagraph"/>
        <w:numPr>
          <w:ilvl w:val="0"/>
          <w:numId w:val="8"/>
        </w:numPr>
      </w:pPr>
      <w:r>
        <w:t xml:space="preserve">☐ Кожен топ-ризик у звіті має явну ймовірність і вплив на rNPV, а не лише словесний опис</w:t>
      </w:r>
    </w:p>
    <w:p>
      <w:pPr>
        <w:pStyle w:val="ListParagraph"/>
        <w:numPr>
          <w:ilvl w:val="0"/>
          <w:numId w:val="8"/>
        </w:numPr>
      </w:pPr>
      <w:r>
        <w:t xml:space="preserve">☐ Вердикт явно посилається на найважливіший ризик, коли його ймовірність і вплив високі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План AI-інвесткомітет для біотеху (7 днів, команда 5)</dc:title>
  <dc:description>Claude Docs node/9228b83a-c818@19 docx-w6</dc:description>
  <cp:revision>19</cp:revision>
</cp:coreProperties>
</file>