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44303" w14:textId="245814F0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Linked</w:t>
      </w:r>
      <w: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I</w:t>
      </w:r>
      <w: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n Post 1:</w:t>
      </w:r>
    </w:p>
    <w:p w14:paraId="77FB8A86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07FE3EFA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Applications are now open for the 2026 Lyle's Local Fund!</w:t>
      </w:r>
    </w:p>
    <w:p w14:paraId="3FC2BFE2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2D480A62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Grants of up to £5,000 are available for local social enterprises, schools, charities, community groups, not-for-profit organisations and groups of residents delivering projects that help make Newham a safer, healthier and more prosperous place to live.</w:t>
      </w:r>
    </w:p>
    <w:p w14:paraId="3FC31DCE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3B5B3743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Since 2017, the Fund has supported 117 community projects across the borough, and we're proud to continue backing the organisations and volunteers making a difference every day.</w:t>
      </w:r>
    </w:p>
    <w:p w14:paraId="3563CD7F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50CF57E7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Applications close on 25th October 2026.</w:t>
      </w:r>
    </w:p>
    <w:p w14:paraId="3D6C1FCC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780C97A5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Analysis of your LinkedIn post:</w:t>
      </w:r>
    </w:p>
    <w:p w14:paraId="16227A2C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43B5ACBF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### 1. Topic and Target Audience</w:t>
      </w:r>
    </w:p>
    <w:p w14:paraId="2BB0EF28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* **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Topic:*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An announcement opening applications for the 2026 Lyle’s Local Fund, offering community grants of up to £5,000 for local development projects in Newham.</w:t>
      </w:r>
    </w:p>
    <w:p w14:paraId="3DD3AE38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* **Target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Audience:*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Leaders, staff, and volunteers of local charities, schools, social enterprises, not-for-profit organisations, and proactive resident groups based in or serving the London Borough of Newham.</w:t>
      </w:r>
    </w:p>
    <w:p w14:paraId="7CCF6844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3BDFF54F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---</w:t>
      </w:r>
    </w:p>
    <w:p w14:paraId="19D2B43D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43594826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### 2. Engagement</w:t>
      </w:r>
    </w:p>
    <w:p w14:paraId="5331B84A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* **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Likelihood:*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Moderately high for the specific target demographic; low to neutral for a broader audience.</w:t>
      </w:r>
    </w:p>
    <w:p w14:paraId="3577CA99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* **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Why:*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The immediate mention of available funding (£5,000) provides a strong incentive for eligible local organisations seeking resources. The historical impact stat ("supported 117 community projects") adds credible social proof. However, it reads purely as an administrative announcement without a conversational hook or prompt to encourage comments or shares.</w:t>
      </w:r>
    </w:p>
    <w:p w14:paraId="4FA40FA5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63F91264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---</w:t>
      </w:r>
    </w:p>
    <w:p w14:paraId="65438448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6A36A4F5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### 3. Reader Value</w:t>
      </w:r>
    </w:p>
    <w:p w14:paraId="4D632CEF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* **Direct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Utility:*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Provides clear, essential details about grant eligibility, funding caps (£5,000), qualifying project themes (safer, healthier, more prosperous Newham), and the application deadline (25th October 2026).</w:t>
      </w:r>
    </w:p>
    <w:p w14:paraId="70BFB62C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* **Contextual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Credibility:*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Demonstrates the funder's ongoing commitment to the borough by sharing their track record since 2017.</w:t>
      </w:r>
    </w:p>
    <w:p w14:paraId="05BC9EAA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301F89CB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---</w:t>
      </w:r>
    </w:p>
    <w:p w14:paraId="44F606C4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2D6E54C3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### 4. Improvements</w:t>
      </w:r>
    </w:p>
    <w:p w14:paraId="7CB68238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 xml:space="preserve">1. **Add a clear Call-to-Action (CTA) and application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link:*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The post states that applications are open but does not tell the reader *where* or *how* to apply (e.g., "Apply via the link below" or "Visit [website] for application guidelines").</w:t>
      </w:r>
    </w:p>
    <w:p w14:paraId="00AEA631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2. **Use visual spacing or bullet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points:*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* Breaking up the dense paragraph with line breaks or bullet points for the key details (grant amount, eligibility criteria, and deadline) would significantly improve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skimmability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for mobile users.</w:t>
      </w:r>
    </w:p>
    <w:p w14:paraId="472A656A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18C50284" w14:textId="77777777" w:rsidR="000F18CC" w:rsidRDefault="000F18CC">
      <w:pP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</w:pPr>
      <w: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br w:type="page"/>
      </w:r>
    </w:p>
    <w:p w14:paraId="40817584" w14:textId="740C5926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lastRenderedPageBreak/>
        <w:t>LinkedIn Post 2:</w:t>
      </w:r>
    </w:p>
    <w:p w14:paraId="41861E5F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5147FF0C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Your sugar screener needs a team of people just to change a screen?</w:t>
      </w:r>
    </w:p>
    <w:p w14:paraId="521055B6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57B5059A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Theres a better way. Gyratory screeners have been the industry standard in sugar processing for centuries. And they work - until they need service.</w:t>
      </w:r>
    </w:p>
    <w:p w14:paraId="56A4C0A8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097FD376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Screen replacement requires multiple access points, special tools, and more than one operator for hours. Tensioning systems need regular adjustment. Seals wear out.</w:t>
      </w:r>
    </w:p>
    <w:p w14:paraId="07E014F6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3A90D299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Be aware: Every maintenance window is a production stop, and in a high-throughput sugar facility, that adds up fast. What if your screener cleaned itself automatically - and your team barely had to touch it?</w:t>
      </w:r>
    </w:p>
    <w:p w14:paraId="60EBF805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5796B9BF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RHEWUMs (spoken Ray-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Vooms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) screening machines for sugar processing work differently. The screen cloth is excited directly, not the entire machine housing. That means up to 50 g of cleaning acceleration on the mesh itself - self-cleaning, continuously, without any manual intervention. No blinding, no clogging. no expensive bouncing balls, no unplanned stops.</w:t>
      </w:r>
    </w:p>
    <w:p w14:paraId="4C60BDBC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365BBDF9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One US sugar refinery replaced their gyratory screener and cut drive power from 14.8 hp to 3.4 hp - while maintaining the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productkion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of 66 short tons per hour. The old machine was cracking their buildings steel structure from gyratory dynamic loads. The new one transfers zero dynamic forces into the structure. We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dont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ask you to take our word for it - we show you with your own material, we demonstrate it on references.</w:t>
      </w:r>
    </w:p>
    <w:p w14:paraId="7893C9C7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58B0CCB4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Analysis of your LinkedIn post:</w:t>
      </w:r>
    </w:p>
    <w:p w14:paraId="11AA0782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42EED234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### 1. Topic and Target Audience</w:t>
      </w:r>
    </w:p>
    <w:p w14:paraId="5F02F5C5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* **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Topic:*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The operational inefficiencies and high maintenance costs of traditional gyratory sugar screeners compared to RHEWUM’s directly excited screen cloth technology.</w:t>
      </w:r>
    </w:p>
    <w:p w14:paraId="0F9B8174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* **Target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Audience:*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Plant managers, maintenance directors, operations heads, and process engineers within the sugar refining and industrial food processing sectors.</w:t>
      </w:r>
    </w:p>
    <w:p w14:paraId="5BC1EE6B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39E47050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### 2. Engagement</w:t>
      </w:r>
    </w:p>
    <w:p w14:paraId="0BB5870E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* **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Likelihood:*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Highly engaging for its specific niche.</w:t>
      </w:r>
    </w:p>
    <w:p w14:paraId="4E0ADD55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* **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Why:*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It hooks the reader immediately with an authentic operational headache (requiring a full crew and downtime just to change a screen). It sustains interest by contrasting the familiar industry baseline with hard, compelling technical data (e.g., dropping horsepower from 14.8 to 3.4 hp, eliminating structural damage, and maintaining 66 tons/hour).</w:t>
      </w:r>
    </w:p>
    <w:p w14:paraId="11D9D708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6D1AF684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### 3. Reader Value</w:t>
      </w:r>
    </w:p>
    <w:p w14:paraId="3E701107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* **Actionable Industry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Insight:*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Highlights hidden operating costs associated with traditional equipment (unplanned downtime, energy consumption, and structural wear from dynamic loads).</w:t>
      </w:r>
    </w:p>
    <w:p w14:paraId="6C4A02BF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 xml:space="preserve">* **Tangible Proof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Points:*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* Delivers real-world metrics from a US refinery case study, demonstrating specific power savings, throughput maintenance, and reduced maintenance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labor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through continuous self-cleaning technology.</w:t>
      </w:r>
    </w:p>
    <w:p w14:paraId="6E5844FB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4B5B4B17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### 4. Improvements</w:t>
      </w:r>
    </w:p>
    <w:p w14:paraId="085C9F94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1. **Improve Visual Formatting and Fix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Typos:*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The middle-to-end portion becomes a dense block of text with a few noticeable typos (e.g., *"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productkion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>"*, missing apostrophes in *"Theres"*, *"RHEWUMs"*, and *"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dont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"*). Breaking the key case study metrics into clean bullet points would significantly improve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scannability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on mobile devices.</w:t>
      </w:r>
    </w:p>
    <w:p w14:paraId="6462ABA8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2. **Add a Clear Call to Action (CTA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):*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The post ends abruptly on an open statement (*"we demonstrate it on references"*). Adding a direct closing prompt—such as inviting readers to message the author, comment, or book a material trial—would convert reader interest into measurable engagement or leads.</w:t>
      </w:r>
    </w:p>
    <w:p w14:paraId="38604365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25DAAB65" w14:textId="77777777" w:rsidR="000F18CC" w:rsidRDefault="000F18CC">
      <w:pP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</w:pPr>
      <w: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br w:type="page"/>
      </w:r>
    </w:p>
    <w:p w14:paraId="60063ABA" w14:textId="46898C5D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lastRenderedPageBreak/>
        <w:t>LinkedIn Post 3:</w:t>
      </w:r>
    </w:p>
    <w:p w14:paraId="6A07E4E2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4BE4A0D8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We're proud to announce that Class of 1985 Mechanical Engineering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graduate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Professor Graham Wren OBE FREng FRSE has received the honour of Foreign Fellow by the Australian Academy of Technological Sciences &amp; Engineering </w:t>
      </w:r>
      <w:r>
        <w:rPr>
          <w:rFonts w:ascii="Segoe UI Emoji" w:hAnsi="Segoe UI Emoji" w:cs="Segoe UI Emoji"/>
          <w:color w:val="000000"/>
          <w:kern w:val="0"/>
          <w:sz w:val="22"/>
          <w:szCs w:val="22"/>
        </w:rPr>
        <w:t>👏</w:t>
      </w:r>
    </w:p>
    <w:p w14:paraId="1CFB6A25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7423C197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This international accolade is rooted in a journey that began much closer to home, when Graham arrived on campus in his early 20s to embark on a degree following an apprenticeship in the steelworks in Cumbria.</w:t>
      </w:r>
    </w:p>
    <w:p w14:paraId="1AC6A7E2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52233D7A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Inspired by the academics he met at Newcastle University, who taught him to be brave and believe in himself, after graduating Graham served as a senior civil servant, led major international technology companies, advised the UK Government and international organisations, and helped secure more than £1.3 billion in industrial research investment through pioneering research centres.</w:t>
      </w:r>
    </w:p>
    <w:p w14:paraId="2CFA49E3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18F157C5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Along the way, Graham has been awarded an OBE, elected a Fellow of the Royal Academy of Engineering and the Royal Society of Edinburgh, and become one of the UK's most influential champions of industry-university collaboration.</w:t>
      </w:r>
    </w:p>
    <w:p w14:paraId="7DC0CCEC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688267F4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Congratulations Graham on this most recent achievement!</w:t>
      </w:r>
    </w:p>
    <w:p w14:paraId="6DDADCF8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005C146D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>Analysis of your LinkedIn post:</w:t>
      </w:r>
    </w:p>
    <w:p w14:paraId="678856AA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74719305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### 1. Topic and Target Audience</w:t>
      </w:r>
    </w:p>
    <w:p w14:paraId="4422182F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* **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Topic:*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An alumni achievement spotlight celebrating Professor Graham Wren's election as a Foreign Fellow of the Australian Academy of Technological Sciences &amp; Engineering, framed around his journey from a Cumbria steelworks apprentice to a global engineering leader.</w:t>
      </w:r>
    </w:p>
    <w:p w14:paraId="6B06962B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* **Target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Audience:*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Newcastle University alumni, current and prospective engineering students, university faculty, and professionals in UK industry-university research collaboration.</w:t>
      </w:r>
    </w:p>
    <w:p w14:paraId="76BBDA51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1FB34871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### 2. Engagement</w:t>
      </w:r>
    </w:p>
    <w:p w14:paraId="3BEEE9FF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* **Likely to be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engaging?*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Yes.</w:t>
      </w:r>
    </w:p>
    <w:p w14:paraId="5793B866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* **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Why:*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It moves beyond a simple accolade announcement by using a compelling "underdog/social mobility" narrative—highlighting his humble beginnings as an apprentice before noting tangible, high-impact achievements (such as securing £1.3B in research investment). This human-interest angle resonates strongly on LinkedIn.</w:t>
      </w:r>
    </w:p>
    <w:p w14:paraId="5915F5F2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3A893D66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### 3. Reader Value</w:t>
      </w:r>
    </w:p>
    <w:p w14:paraId="3E054EE4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* **Inspiration and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Perspective:*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Offers an encouraging example of career mobility, illustrating that a non-traditional background (an apprenticeship) paired with higher education can lead to top-tier global impact.</w:t>
      </w:r>
    </w:p>
    <w:p w14:paraId="6CB05CB0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* **Social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Proof:*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* Demonstrates the long-term </w:t>
      </w:r>
      <w:proofErr w:type="spellStart"/>
      <w:r>
        <w:rPr>
          <w:rFonts w:ascii="Consolas" w:hAnsi="Consolas" w:cs="Consolas"/>
          <w:color w:val="000000"/>
          <w:kern w:val="0"/>
          <w:sz w:val="22"/>
          <w:szCs w:val="22"/>
        </w:rPr>
        <w:t>caliber</w:t>
      </w:r>
      <w:proofErr w:type="spellEnd"/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 and real-world value of Newcastle University's engineering programme and mentorship.</w:t>
      </w:r>
    </w:p>
    <w:p w14:paraId="44E0C04D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</w:p>
    <w:p w14:paraId="7D3E2741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>### 4. Improvements</w:t>
      </w:r>
    </w:p>
    <w:p w14:paraId="5474EE49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lastRenderedPageBreak/>
        <w:t>1. **Add a Call to Action (CTA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):*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Prompt the audience to engage in the comments (e.g., inviting connections to leave congratulatory messages or share their own memories of studying alongside him) to boost algorithmic reach.</w:t>
      </w:r>
    </w:p>
    <w:p w14:paraId="24E64229" w14:textId="77777777" w:rsidR="000F18CC" w:rsidRDefault="000F18CC" w:rsidP="000F18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2"/>
          <w:szCs w:val="22"/>
        </w:rPr>
      </w:pPr>
      <w:r>
        <w:rPr>
          <w:rFonts w:ascii="Consolas" w:hAnsi="Consolas" w:cs="Consolas"/>
          <w:color w:val="000000"/>
          <w:kern w:val="0"/>
          <w:sz w:val="22"/>
          <w:szCs w:val="22"/>
        </w:rPr>
        <w:t xml:space="preserve">2. **Incorporate Mentions and </w:t>
      </w:r>
      <w:proofErr w:type="gramStart"/>
      <w:r>
        <w:rPr>
          <w:rFonts w:ascii="Consolas" w:hAnsi="Consolas" w:cs="Consolas"/>
          <w:color w:val="000000"/>
          <w:kern w:val="0"/>
          <w:sz w:val="22"/>
          <w:szCs w:val="22"/>
        </w:rPr>
        <w:t>Hashtags:*</w:t>
      </w:r>
      <w:proofErr w:type="gramEnd"/>
      <w:r>
        <w:rPr>
          <w:rFonts w:ascii="Consolas" w:hAnsi="Consolas" w:cs="Consolas"/>
          <w:color w:val="000000"/>
          <w:kern w:val="0"/>
          <w:sz w:val="22"/>
          <w:szCs w:val="22"/>
        </w:rPr>
        <w:t>* Tag the Australian Academy of Technological Sciences &amp; Engineering (and Graham Wren, if profile available) and include 2–3 relevant hashtags (e.g., #Engineering, #AlumniSuccess) to expand discoverability outside the immediate follower base.</w:t>
      </w:r>
    </w:p>
    <w:p w14:paraId="381A18AB" w14:textId="721C6850" w:rsidR="00E5603B" w:rsidRDefault="00E5603B"/>
    <w:sectPr w:rsidR="00E5603B" w:rsidSect="000F18C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3B"/>
    <w:rsid w:val="000F18CC"/>
    <w:rsid w:val="008C2E3B"/>
    <w:rsid w:val="0096673C"/>
    <w:rsid w:val="00D603B0"/>
    <w:rsid w:val="00E5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A0C6"/>
  <w15:chartTrackingRefBased/>
  <w15:docId w15:val="{EFABD756-3BE0-4C97-AF9A-995E57A2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1294</Words>
  <Characters>7377</Characters>
  <Application>Microsoft Office Word</Application>
  <DocSecurity>0</DocSecurity>
  <Lines>61</Lines>
  <Paragraphs>17</Paragraphs>
  <ScaleCrop>false</ScaleCrop>
  <Company/>
  <LinksUpToDate>false</LinksUpToDate>
  <CharactersWithSpaces>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McColm</dc:creator>
  <cp:keywords/>
  <dc:description/>
  <cp:lastModifiedBy>Liz McColm</cp:lastModifiedBy>
  <cp:revision>2</cp:revision>
  <dcterms:created xsi:type="dcterms:W3CDTF">2026-10-15T14:01:00Z</dcterms:created>
  <dcterms:modified xsi:type="dcterms:W3CDTF">2026-10-15T14:02:00Z</dcterms:modified>
</cp:coreProperties>
</file>