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A580C"/>
          <w:sz w:val="44"/>
        </w:rPr>
        <w:t>STORA: Smart Inventory &amp; Micro-Commerce Platform</w:t>
      </w:r>
    </w:p>
    <w:p>
      <w:r>
        <w:rPr>
          <w:color w:val="4B5563"/>
          <w:sz w:val="22"/>
        </w:rPr>
        <w:t>Investor Pitch, Valuation Ask &amp; Proposed Use of Funds</w:t>
        <w:br/>
        <w:t>Target Sector: MSME Digitalization &amp; FinTech | Stage: Pre-Seed Commercialization (2026)</w:t>
      </w:r>
    </w:p>
    <w:p>
      <w:pPr>
        <w:spacing w:after="160"/>
      </w:pPr>
    </w:p>
    <w:p>
      <w:pPr>
        <w:pStyle w:val="Heading1"/>
        <w:spacing w:before="240"/>
      </w:pPr>
      <w:r>
        <w:t>1. Executive Summary &amp; Market Opportunity</w:t>
      </w:r>
    </w:p>
    <w:p>
      <w:r>
        <w:t>There are over 1.3 million neighborhood sari-sari stores and micro-retailers in the Philippines generating $10B+ USD in annual FMCG transactions. Over 90% still operate using manual paper notebooks ('talaan') or memory, causing frequent stockouts, lost sales, and unrecorded credit. Existing POS systems (Utak, StoreHub) cost ₱15,000–₱40,000 in upfront hardware and require credit cards that micro-entrepreneurs do not possess.</w:t>
      </w:r>
    </w:p>
    <w:p>
      <w:r>
        <w:t>Stora turns any existing Android smartphone into a zero-hardware micro-retail terminal featuring camera barcode scanning, 100% offline-resilient local storage (Drift/SQLite), automatic change (sukli) calculation, digital Utang (credit) tracking with automated SMS reminders, and an interactive customer map discovery radar. Both the Stora Owner and Stora Customer mobile apps are fully built, tested, and operational.</w:t>
      </w:r>
    </w:p>
    <w:p>
      <w:pPr>
        <w:pStyle w:val="Heading1"/>
        <w:spacing w:before="280"/>
      </w:pPr>
      <w:r>
        <w:t>2. The Investment Ask &amp; Key Terms</w:t>
      </w:r>
    </w:p>
    <w:tbl>
      <w:tblPr>
        <w:tblW w:type="auto" w:w="0"/>
        <w:jc w:val="center"/>
        <w:tblLook w:firstColumn="1" w:firstRow="1" w:lastColumn="0" w:lastRow="0" w:noHBand="0" w:noVBand="1" w:val="04A0"/>
      </w:tblPr>
      <w:tblGrid>
        <w:gridCol w:w="3360"/>
        <w:gridCol w:w="3360"/>
        <w:gridCol w:w="3360"/>
      </w:tblGrid>
      <w:tr>
        <w:tc>
          <w:tcPr>
            <w:tcW w:type="dxa" w:w="3168"/>
            <w:shd w:fill="EA580C"/>
          </w:tcPr>
          <w:p>
            <w:r>
              <w:rPr>
                <w:b/>
                <w:color w:val="FFFFFF"/>
                <w:sz w:val="19"/>
              </w:rPr>
              <w:t>Investment Parameter</w:t>
            </w:r>
          </w:p>
        </w:tc>
        <w:tc>
          <w:tcPr>
            <w:tcW w:type="dxa" w:w="3456"/>
            <w:shd w:fill="EA580C"/>
          </w:tcPr>
          <w:p>
            <w:r>
              <w:rPr>
                <w:b/>
                <w:color w:val="FFFFFF"/>
                <w:sz w:val="19"/>
              </w:rPr>
              <w:t>Primary Target (Pre-Seed)</w:t>
            </w:r>
          </w:p>
        </w:tc>
        <w:tc>
          <w:tcPr>
            <w:tcW w:type="dxa" w:w="3456"/>
            <w:shd w:fill="EA580C"/>
          </w:tcPr>
          <w:p>
            <w:r>
              <w:rPr>
                <w:b/>
                <w:color w:val="FFFFFF"/>
                <w:sz w:val="19"/>
              </w:rPr>
              <w:t>Tranche Option (Pilot Match)</w:t>
            </w:r>
          </w:p>
        </w:tc>
      </w:tr>
      <w:tr>
        <w:tc>
          <w:tcPr>
            <w:tcW w:type="dxa" w:w="3168"/>
            <w:shd w:fill="FFFFFF"/>
          </w:tcPr>
          <w:p>
            <w:r>
              <w:rPr>
                <w:color w:val="1F2937"/>
                <w:sz w:val="18"/>
              </w:rPr>
              <w:t>Funding Target</w:t>
            </w:r>
          </w:p>
        </w:tc>
        <w:tc>
          <w:tcPr>
            <w:tcW w:type="dxa" w:w="3456"/>
            <w:shd w:fill="FFFFFF"/>
          </w:tcPr>
          <w:p>
            <w:r>
              <w:rPr>
                <w:color w:val="1F2937"/>
                <w:sz w:val="18"/>
              </w:rPr>
              <w:t>₱2,000,000 PHP (~$35,000 USD)</w:t>
            </w:r>
          </w:p>
        </w:tc>
        <w:tc>
          <w:tcPr>
            <w:tcW w:type="dxa" w:w="3456"/>
            <w:shd w:fill="FFFFFF"/>
          </w:tcPr>
          <w:p>
            <w:r>
              <w:rPr>
                <w:color w:val="1F2937"/>
                <w:sz w:val="18"/>
              </w:rPr>
              <w:t>₱1,000,000 PHP (~$18,000 USD)</w:t>
            </w:r>
          </w:p>
        </w:tc>
      </w:tr>
      <w:tr>
        <w:tc>
          <w:tcPr>
            <w:tcW w:type="dxa" w:w="3168"/>
            <w:shd w:fill="F3F4F6"/>
          </w:tcPr>
          <w:p>
            <w:r>
              <w:rPr>
                <w:color w:val="1F2937"/>
                <w:sz w:val="18"/>
              </w:rPr>
              <w:t>Operational Runway</w:t>
            </w:r>
          </w:p>
        </w:tc>
        <w:tc>
          <w:tcPr>
            <w:tcW w:type="dxa" w:w="3456"/>
            <w:shd w:fill="F3F4F6"/>
          </w:tcPr>
          <w:p>
            <w:r>
              <w:rPr>
                <w:color w:val="1F2937"/>
                <w:sz w:val="18"/>
              </w:rPr>
              <w:t>18 Months</w:t>
            </w:r>
          </w:p>
        </w:tc>
        <w:tc>
          <w:tcPr>
            <w:tcW w:type="dxa" w:w="3456"/>
            <w:shd w:fill="F3F4F6"/>
          </w:tcPr>
          <w:p>
            <w:r>
              <w:rPr>
                <w:color w:val="1F2937"/>
                <w:sz w:val="18"/>
              </w:rPr>
              <w:t>12 Months</w:t>
            </w:r>
          </w:p>
        </w:tc>
      </w:tr>
      <w:tr>
        <w:tc>
          <w:tcPr>
            <w:tcW w:type="dxa" w:w="3168"/>
            <w:shd w:fill="FFFFFF"/>
          </w:tcPr>
          <w:p>
            <w:r>
              <w:rPr>
                <w:color w:val="1F2937"/>
                <w:sz w:val="18"/>
              </w:rPr>
              <w:t>Instrument</w:t>
            </w:r>
          </w:p>
        </w:tc>
        <w:tc>
          <w:tcPr>
            <w:tcW w:type="dxa" w:w="3456"/>
            <w:shd w:fill="FFFFFF"/>
          </w:tcPr>
          <w:p>
            <w:r>
              <w:rPr>
                <w:color w:val="1F2937"/>
                <w:sz w:val="18"/>
              </w:rPr>
              <w:t>SAFE / Equity / Matching Grant</w:t>
            </w:r>
          </w:p>
        </w:tc>
        <w:tc>
          <w:tcPr>
            <w:tcW w:type="dxa" w:w="3456"/>
            <w:shd w:fill="FFFFFF"/>
          </w:tcPr>
          <w:p>
            <w:r>
              <w:rPr>
                <w:color w:val="1F2937"/>
                <w:sz w:val="18"/>
              </w:rPr>
              <w:t>Pre-Seed Convertible / Grant</w:t>
            </w:r>
          </w:p>
        </w:tc>
      </w:tr>
      <w:tr>
        <w:tc>
          <w:tcPr>
            <w:tcW w:type="dxa" w:w="3168"/>
            <w:shd w:fill="F3F4F6"/>
          </w:tcPr>
          <w:p>
            <w:r>
              <w:rPr>
                <w:color w:val="1F2937"/>
                <w:sz w:val="18"/>
              </w:rPr>
              <w:t>Target Valuation Cap</w:t>
            </w:r>
          </w:p>
        </w:tc>
        <w:tc>
          <w:tcPr>
            <w:tcW w:type="dxa" w:w="3456"/>
            <w:shd w:fill="F3F4F6"/>
          </w:tcPr>
          <w:p>
            <w:r>
              <w:rPr>
                <w:color w:val="1F2937"/>
                <w:sz w:val="18"/>
              </w:rPr>
              <w:t>₱18,000,000 – ₱20,000,000 PHP</w:t>
            </w:r>
          </w:p>
        </w:tc>
        <w:tc>
          <w:tcPr>
            <w:tcW w:type="dxa" w:w="3456"/>
            <w:shd w:fill="F3F4F6"/>
          </w:tcPr>
          <w:p>
            <w:r>
              <w:rPr>
                <w:color w:val="1F2937"/>
                <w:sz w:val="18"/>
              </w:rPr>
              <w:t>Milestone-Linked</w:t>
            </w:r>
          </w:p>
        </w:tc>
      </w:tr>
      <w:tr>
        <w:tc>
          <w:tcPr>
            <w:tcW w:type="dxa" w:w="3168"/>
            <w:shd w:fill="FFFFFF"/>
          </w:tcPr>
          <w:p>
            <w:r>
              <w:rPr>
                <w:color w:val="1F2937"/>
                <w:sz w:val="18"/>
              </w:rPr>
              <w:t>Target Milestone</w:t>
            </w:r>
          </w:p>
        </w:tc>
        <w:tc>
          <w:tcPr>
            <w:tcW w:type="dxa" w:w="3456"/>
            <w:shd w:fill="FFFFFF"/>
          </w:tcPr>
          <w:p>
            <w:r>
              <w:rPr>
                <w:color w:val="1F2937"/>
                <w:sz w:val="18"/>
              </w:rPr>
              <w:t>2,500 Paid Stores (₱250k MRR / ₱3M ARR)</w:t>
            </w:r>
          </w:p>
        </w:tc>
        <w:tc>
          <w:tcPr>
            <w:tcW w:type="dxa" w:w="3456"/>
            <w:shd w:fill="FFFFFF"/>
          </w:tcPr>
          <w:p>
            <w:r>
              <w:rPr>
                <w:color w:val="1F2937"/>
                <w:sz w:val="18"/>
              </w:rPr>
              <w:t>1,000 Paid Stores (₱100k MRR / ₱1.2M ARR)</w:t>
            </w:r>
          </w:p>
        </w:tc>
      </w:tr>
      <w:tr>
        <w:tc>
          <w:tcPr>
            <w:tcW w:type="dxa" w:w="3168"/>
            <w:shd w:fill="F3F4F6"/>
          </w:tcPr>
          <w:p>
            <w:r>
              <w:rPr>
                <w:color w:val="1F2937"/>
                <w:sz w:val="18"/>
              </w:rPr>
              <w:t>Gross Merchandise Value</w:t>
            </w:r>
          </w:p>
        </w:tc>
        <w:tc>
          <w:tcPr>
            <w:tcW w:type="dxa" w:w="3456"/>
            <w:shd w:fill="F3F4F6"/>
          </w:tcPr>
          <w:p>
            <w:r>
              <w:rPr>
                <w:color w:val="1F2937"/>
                <w:sz w:val="18"/>
              </w:rPr>
              <w:t>₱65,000,000+ GMV Processed</w:t>
            </w:r>
          </w:p>
        </w:tc>
        <w:tc>
          <w:tcPr>
            <w:tcW w:type="dxa" w:w="3456"/>
            <w:shd w:fill="F3F4F6"/>
          </w:tcPr>
          <w:p>
            <w:r>
              <w:rPr>
                <w:color w:val="1F2937"/>
                <w:sz w:val="18"/>
              </w:rPr>
              <w:t>₱20,000,000+ GMV Processed</w:t>
            </w:r>
          </w:p>
        </w:tc>
      </w:tr>
    </w:tbl>
    <w:p>
      <w:pPr>
        <w:pStyle w:val="Heading1"/>
        <w:spacing w:before="280"/>
      </w:pPr>
      <w:r>
        <w:t>3. Proposed Use of Funds Breakdown (₱2,000,000 Budget)</w:t>
      </w:r>
    </w:p>
    <w:tbl>
      <w:tblPr>
        <w:tblW w:type="auto" w:w="0"/>
        <w:jc w:val="center"/>
        <w:tblLook w:firstColumn="1" w:firstRow="1" w:lastColumn="0" w:lastRow="0" w:noHBand="0" w:noVBand="1" w:val="04A0"/>
      </w:tblPr>
      <w:tblGrid>
        <w:gridCol w:w="2520"/>
        <w:gridCol w:w="2520"/>
        <w:gridCol w:w="2520"/>
        <w:gridCol w:w="2520"/>
      </w:tblGrid>
      <w:tr>
        <w:tc>
          <w:tcPr>
            <w:tcW w:type="dxa" w:w="2592"/>
            <w:shd w:fill="EA580C"/>
          </w:tcPr>
          <w:p>
            <w:r>
              <w:rPr>
                <w:b/>
                <w:color w:val="FFFFFF"/>
                <w:sz w:val="19"/>
              </w:rPr>
              <w:t>Budget Category</w:t>
            </w:r>
          </w:p>
        </w:tc>
        <w:tc>
          <w:tcPr>
            <w:tcW w:type="dxa" w:w="1584"/>
            <w:shd w:fill="EA580C"/>
          </w:tcPr>
          <w:p>
            <w:r>
              <w:rPr>
                <w:b/>
                <w:color w:val="FFFFFF"/>
                <w:sz w:val="19"/>
              </w:rPr>
              <w:t>Amount (PHP)</w:t>
            </w:r>
          </w:p>
        </w:tc>
        <w:tc>
          <w:tcPr>
            <w:tcW w:type="dxa" w:w="1152"/>
            <w:shd w:fill="EA580C"/>
          </w:tcPr>
          <w:p>
            <w:r>
              <w:rPr>
                <w:b/>
                <w:color w:val="FFFFFF"/>
                <w:sz w:val="19"/>
              </w:rPr>
              <w:t>Share</w:t>
            </w:r>
          </w:p>
        </w:tc>
        <w:tc>
          <w:tcPr>
            <w:tcW w:type="dxa" w:w="4752"/>
            <w:shd w:fill="EA580C"/>
          </w:tcPr>
          <w:p>
            <w:r>
              <w:rPr>
                <w:b/>
                <w:color w:val="FFFFFF"/>
                <w:sz w:val="19"/>
              </w:rPr>
              <w:t>Deliverables &amp; Key Milestones</w:t>
            </w:r>
          </w:p>
        </w:tc>
      </w:tr>
      <w:tr>
        <w:tc>
          <w:tcPr>
            <w:tcW w:type="dxa" w:w="2592"/>
            <w:shd w:fill="FFFFFF"/>
          </w:tcPr>
          <w:p>
            <w:r>
              <w:rPr>
                <w:color w:val="1F2937"/>
                <w:sz w:val="18"/>
              </w:rPr>
              <w:t>1. Product, Engineering &amp; Cloud</w:t>
            </w:r>
          </w:p>
        </w:tc>
        <w:tc>
          <w:tcPr>
            <w:tcW w:type="dxa" w:w="1584"/>
            <w:shd w:fill="FFFFFF"/>
          </w:tcPr>
          <w:p>
            <w:r>
              <w:rPr>
                <w:color w:val="1F2937"/>
                <w:sz w:val="18"/>
              </w:rPr>
              <w:t>₱700,000</w:t>
            </w:r>
          </w:p>
        </w:tc>
        <w:tc>
          <w:tcPr>
            <w:tcW w:type="dxa" w:w="1152"/>
            <w:shd w:fill="FFFFFF"/>
          </w:tcPr>
          <w:p>
            <w:r>
              <w:rPr>
                <w:color w:val="1F2937"/>
                <w:sz w:val="18"/>
              </w:rPr>
              <w:t>35.0%</w:t>
            </w:r>
          </w:p>
        </w:tc>
        <w:tc>
          <w:tcPr>
            <w:tcW w:type="dxa" w:w="4752"/>
            <w:shd w:fill="FFFFFF"/>
          </w:tcPr>
          <w:p>
            <w:r>
              <w:rPr>
                <w:color w:val="1F2937"/>
                <w:sz w:val="18"/>
              </w:rPr>
              <w:t>Automated payment gateway (PayMongo/Xendit) recurring GCash billing, cloud auto-scaling (PostgreSQL/Redis), encrypted offline sync, and 3 core dev stipends for 12 mos.</w:t>
            </w:r>
          </w:p>
        </w:tc>
      </w:tr>
      <w:tr>
        <w:tc>
          <w:tcPr>
            <w:tcW w:type="dxa" w:w="2592"/>
            <w:shd w:fill="F3F4F6"/>
          </w:tcPr>
          <w:p>
            <w:r>
              <w:rPr>
                <w:color w:val="1F2937"/>
                <w:sz w:val="18"/>
              </w:rPr>
              <w:t>2. Merchant Acquisition &amp; Field GTM</w:t>
            </w:r>
          </w:p>
        </w:tc>
        <w:tc>
          <w:tcPr>
            <w:tcW w:type="dxa" w:w="1584"/>
            <w:shd w:fill="F3F4F6"/>
          </w:tcPr>
          <w:p>
            <w:r>
              <w:rPr>
                <w:color w:val="1F2937"/>
                <w:sz w:val="18"/>
              </w:rPr>
              <w:t>₱600,000</w:t>
            </w:r>
          </w:p>
        </w:tc>
        <w:tc>
          <w:tcPr>
            <w:tcW w:type="dxa" w:w="1152"/>
            <w:shd w:fill="F3F4F6"/>
          </w:tcPr>
          <w:p>
            <w:r>
              <w:rPr>
                <w:color w:val="1F2937"/>
                <w:sz w:val="18"/>
              </w:rPr>
              <w:t>30.0%</w:t>
            </w:r>
          </w:p>
        </w:tc>
        <w:tc>
          <w:tcPr>
            <w:tcW w:type="dxa" w:w="4752"/>
            <w:shd w:fill="F3F4F6"/>
          </w:tcPr>
          <w:p>
            <w:r>
              <w:rPr>
                <w:color w:val="1F2937"/>
                <w:sz w:val="18"/>
              </w:rPr>
              <w:t>3 field sales ambassadors (Iloilo, Cavite, QC), 1,500 acrylic merchant QR standees &amp; welcome kits (₱150/kit), DTI Negosyo Center workshops, and hyperlocal ads.</w:t>
            </w:r>
          </w:p>
        </w:tc>
      </w:tr>
      <w:tr>
        <w:tc>
          <w:tcPr>
            <w:tcW w:type="dxa" w:w="2592"/>
            <w:shd w:fill="FFFFFF"/>
          </w:tcPr>
          <w:p>
            <w:r>
              <w:rPr>
                <w:color w:val="1F2937"/>
                <w:sz w:val="18"/>
              </w:rPr>
              <w:t>3. Operations &amp; Merchant Success</w:t>
            </w:r>
          </w:p>
        </w:tc>
        <w:tc>
          <w:tcPr>
            <w:tcW w:type="dxa" w:w="1584"/>
            <w:shd w:fill="FFFFFF"/>
          </w:tcPr>
          <w:p>
            <w:r>
              <w:rPr>
                <w:color w:val="1F2937"/>
                <w:sz w:val="18"/>
              </w:rPr>
              <w:t>₱300,000</w:t>
            </w:r>
          </w:p>
        </w:tc>
        <w:tc>
          <w:tcPr>
            <w:tcW w:type="dxa" w:w="1152"/>
            <w:shd w:fill="FFFFFF"/>
          </w:tcPr>
          <w:p>
            <w:r>
              <w:rPr>
                <w:color w:val="1F2937"/>
                <w:sz w:val="18"/>
              </w:rPr>
              <w:t>15.0%</w:t>
            </w:r>
          </w:p>
        </w:tc>
        <w:tc>
          <w:tcPr>
            <w:tcW w:type="dxa" w:w="4752"/>
            <w:shd w:fill="FFFFFF"/>
          </w:tcPr>
          <w:p>
            <w:r>
              <w:rPr>
                <w:color w:val="1F2937"/>
                <w:sz w:val="18"/>
              </w:rPr>
              <w:t>Dedicated merchant support specialist (bilingual Hiligaynon/Tagalog), automated SMS credit balance (Semaphore/Twilio for Utang alerts), and low-spec test device lab.</w:t>
            </w:r>
          </w:p>
        </w:tc>
      </w:tr>
      <w:tr>
        <w:tc>
          <w:tcPr>
            <w:tcW w:type="dxa" w:w="2592"/>
            <w:shd w:fill="F3F4F6"/>
          </w:tcPr>
          <w:p>
            <w:r>
              <w:rPr>
                <w:color w:val="1F2937"/>
                <w:sz w:val="18"/>
              </w:rPr>
              <w:t>4. Legal, Compliance &amp; Partnerships</w:t>
            </w:r>
          </w:p>
        </w:tc>
        <w:tc>
          <w:tcPr>
            <w:tcW w:type="dxa" w:w="1584"/>
            <w:shd w:fill="F3F4F6"/>
          </w:tcPr>
          <w:p>
            <w:r>
              <w:rPr>
                <w:color w:val="1F2937"/>
                <w:sz w:val="18"/>
              </w:rPr>
              <w:t>₱200,000</w:t>
            </w:r>
          </w:p>
        </w:tc>
        <w:tc>
          <w:tcPr>
            <w:tcW w:type="dxa" w:w="1152"/>
            <w:shd w:fill="F3F4F6"/>
          </w:tcPr>
          <w:p>
            <w:r>
              <w:rPr>
                <w:color w:val="1F2937"/>
                <w:sz w:val="18"/>
              </w:rPr>
              <w:t>10.0%</w:t>
            </w:r>
          </w:p>
        </w:tc>
        <w:tc>
          <w:tcPr>
            <w:tcW w:type="dxa" w:w="4752"/>
            <w:shd w:fill="F3F4F6"/>
          </w:tcPr>
          <w:p>
            <w:r>
              <w:rPr>
                <w:color w:val="1F2937"/>
                <w:sz w:val="18"/>
              </w:rPr>
              <w:t>SEC incorporation, DTI permits, Data Privacy Act (DPA 2012) compliance audit, and merchant legal retainers.</w:t>
            </w:r>
          </w:p>
        </w:tc>
      </w:tr>
      <w:tr>
        <w:tc>
          <w:tcPr>
            <w:tcW w:type="dxa" w:w="2592"/>
            <w:shd w:fill="FFFFFF"/>
          </w:tcPr>
          <w:p>
            <w:r>
              <w:rPr>
                <w:color w:val="1F2937"/>
                <w:sz w:val="18"/>
              </w:rPr>
              <w:t>5. Working Capital &amp; Contingency</w:t>
            </w:r>
          </w:p>
        </w:tc>
        <w:tc>
          <w:tcPr>
            <w:tcW w:type="dxa" w:w="1584"/>
            <w:shd w:fill="FFFFFF"/>
          </w:tcPr>
          <w:p>
            <w:r>
              <w:rPr>
                <w:color w:val="1F2937"/>
                <w:sz w:val="18"/>
              </w:rPr>
              <w:t>₱200,000</w:t>
            </w:r>
          </w:p>
        </w:tc>
        <w:tc>
          <w:tcPr>
            <w:tcW w:type="dxa" w:w="1152"/>
            <w:shd w:fill="FFFFFF"/>
          </w:tcPr>
          <w:p>
            <w:r>
              <w:rPr>
                <w:color w:val="1F2937"/>
                <w:sz w:val="18"/>
              </w:rPr>
              <w:t>10.0%</w:t>
            </w:r>
          </w:p>
        </w:tc>
        <w:tc>
          <w:tcPr>
            <w:tcW w:type="dxa" w:w="4752"/>
            <w:shd w:fill="FFFFFF"/>
          </w:tcPr>
          <w:p>
            <w:r>
              <w:rPr>
                <w:color w:val="1F2937"/>
                <w:sz w:val="18"/>
              </w:rPr>
              <w:t>18-month financial buffer against cloud spikes, currency fluctuations, and localized pilot deployment delays.</w:t>
            </w:r>
          </w:p>
        </w:tc>
      </w:tr>
      <w:tr>
        <w:tc>
          <w:tcPr>
            <w:tcW w:type="dxa" w:w="2592"/>
            <w:shd w:fill="F3F4F6"/>
          </w:tcPr>
          <w:p>
            <w:r>
              <w:rPr>
                <w:color w:val="1F2937"/>
                <w:sz w:val="18"/>
              </w:rPr>
              <w:t>TOTAL CAPITAL REQUIREMENT</w:t>
            </w:r>
          </w:p>
        </w:tc>
        <w:tc>
          <w:tcPr>
            <w:tcW w:type="dxa" w:w="1584"/>
            <w:shd w:fill="F3F4F6"/>
          </w:tcPr>
          <w:p>
            <w:r>
              <w:rPr>
                <w:color w:val="1F2937"/>
                <w:sz w:val="18"/>
              </w:rPr>
              <w:t>₱2,000,000</w:t>
            </w:r>
          </w:p>
        </w:tc>
        <w:tc>
          <w:tcPr>
            <w:tcW w:type="dxa" w:w="1152"/>
            <w:shd w:fill="F3F4F6"/>
          </w:tcPr>
          <w:p>
            <w:r>
              <w:rPr>
                <w:color w:val="1F2937"/>
                <w:sz w:val="18"/>
              </w:rPr>
              <w:t>100.0%</w:t>
            </w:r>
          </w:p>
        </w:tc>
        <w:tc>
          <w:tcPr>
            <w:tcW w:type="dxa" w:w="4752"/>
            <w:shd w:fill="F3F4F6"/>
          </w:tcPr>
          <w:p>
            <w:r>
              <w:rPr>
                <w:color w:val="1F2937"/>
                <w:sz w:val="18"/>
              </w:rPr>
              <w:t>18-Month Operational Runway to Cashflow Breakeven &amp; Series Seed Readiness</w:t>
            </w:r>
          </w:p>
        </w:tc>
      </w:tr>
    </w:tbl>
    <w:p>
      <w:pPr>
        <w:pStyle w:val="Heading1"/>
        <w:spacing w:before="280"/>
      </w:pPr>
      <w:r>
        <w:t>4. 18-Month Milestones &amp; Growth Roadmap</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fill="EA580C"/>
          </w:tcPr>
          <w:p>
            <w:r>
              <w:rPr>
                <w:b/>
                <w:color w:val="FFFFFF"/>
                <w:sz w:val="19"/>
              </w:rPr>
              <w:t>Milestone Phase</w:t>
            </w:r>
          </w:p>
        </w:tc>
        <w:tc>
          <w:tcPr>
            <w:tcW w:type="dxa" w:w="1728"/>
            <w:shd w:fill="EA580C"/>
          </w:tcPr>
          <w:p>
            <w:r>
              <w:rPr>
                <w:b/>
                <w:color w:val="FFFFFF"/>
                <w:sz w:val="19"/>
              </w:rPr>
              <w:t>Active Stores</w:t>
            </w:r>
          </w:p>
        </w:tc>
        <w:tc>
          <w:tcPr>
            <w:tcW w:type="dxa" w:w="1728"/>
            <w:shd w:fill="EA580C"/>
          </w:tcPr>
          <w:p>
            <w:r>
              <w:rPr>
                <w:b/>
                <w:color w:val="FFFFFF"/>
                <w:sz w:val="19"/>
              </w:rPr>
              <w:t>Paid Stores</w:t>
            </w:r>
          </w:p>
        </w:tc>
        <w:tc>
          <w:tcPr>
            <w:tcW w:type="dxa" w:w="2016"/>
            <w:shd w:fill="EA580C"/>
          </w:tcPr>
          <w:p>
            <w:r>
              <w:rPr>
                <w:b/>
                <w:color w:val="FFFFFF"/>
                <w:sz w:val="19"/>
              </w:rPr>
              <w:t>MRR (PHP)</w:t>
            </w:r>
          </w:p>
        </w:tc>
        <w:tc>
          <w:tcPr>
            <w:tcW w:type="dxa" w:w="2448"/>
            <w:shd w:fill="EA580C"/>
          </w:tcPr>
          <w:p>
            <w:r>
              <w:rPr>
                <w:b/>
                <w:color w:val="FFFFFF"/>
                <w:sz w:val="19"/>
              </w:rPr>
              <w:t>Cumulative GMV</w:t>
            </w:r>
          </w:p>
        </w:tc>
      </w:tr>
      <w:tr>
        <w:tc>
          <w:tcPr>
            <w:tcW w:type="dxa" w:w="2160"/>
            <w:shd w:fill="FFFFFF"/>
          </w:tcPr>
          <w:p>
            <w:r>
              <w:rPr>
                <w:color w:val="1F2937"/>
                <w:sz w:val="18"/>
              </w:rPr>
              <w:t>Month 3 (Pilot Validation)</w:t>
            </w:r>
          </w:p>
        </w:tc>
        <w:tc>
          <w:tcPr>
            <w:tcW w:type="dxa" w:w="1728"/>
            <w:shd w:fill="FFFFFF"/>
          </w:tcPr>
          <w:p>
            <w:r>
              <w:rPr>
                <w:color w:val="1F2937"/>
                <w:sz w:val="18"/>
              </w:rPr>
              <w:t>250 stores</w:t>
            </w:r>
          </w:p>
        </w:tc>
        <w:tc>
          <w:tcPr>
            <w:tcW w:type="dxa" w:w="1728"/>
            <w:shd w:fill="FFFFFF"/>
          </w:tcPr>
          <w:p>
            <w:r>
              <w:rPr>
                <w:color w:val="1F2937"/>
                <w:sz w:val="18"/>
              </w:rPr>
              <w:t>100 stores</w:t>
            </w:r>
          </w:p>
        </w:tc>
        <w:tc>
          <w:tcPr>
            <w:tcW w:type="dxa" w:w="2016"/>
            <w:shd w:fill="FFFFFF"/>
          </w:tcPr>
          <w:p>
            <w:r>
              <w:rPr>
                <w:color w:val="1F2937"/>
                <w:sz w:val="18"/>
              </w:rPr>
              <w:t>₱10,000 / mo</w:t>
            </w:r>
          </w:p>
        </w:tc>
        <w:tc>
          <w:tcPr>
            <w:tcW w:type="dxa" w:w="2448"/>
            <w:shd w:fill="FFFFFF"/>
          </w:tcPr>
          <w:p>
            <w:r>
              <w:rPr>
                <w:color w:val="1F2937"/>
                <w:sz w:val="18"/>
              </w:rPr>
              <w:t>₱1,500,000</w:t>
            </w:r>
          </w:p>
        </w:tc>
      </w:tr>
      <w:tr>
        <w:tc>
          <w:tcPr>
            <w:tcW w:type="dxa" w:w="2160"/>
            <w:shd w:fill="F3F4F6"/>
          </w:tcPr>
          <w:p>
            <w:r>
              <w:rPr>
                <w:color w:val="1F2937"/>
                <w:sz w:val="18"/>
              </w:rPr>
              <w:t>Month 6 (Traction)</w:t>
            </w:r>
          </w:p>
        </w:tc>
        <w:tc>
          <w:tcPr>
            <w:tcW w:type="dxa" w:w="1728"/>
            <w:shd w:fill="F3F4F6"/>
          </w:tcPr>
          <w:p>
            <w:r>
              <w:rPr>
                <w:color w:val="1F2937"/>
                <w:sz w:val="18"/>
              </w:rPr>
              <w:t>750 stores</w:t>
            </w:r>
          </w:p>
        </w:tc>
        <w:tc>
          <w:tcPr>
            <w:tcW w:type="dxa" w:w="1728"/>
            <w:shd w:fill="F3F4F6"/>
          </w:tcPr>
          <w:p>
            <w:r>
              <w:rPr>
                <w:color w:val="1F2937"/>
                <w:sz w:val="18"/>
              </w:rPr>
              <w:t>400 stores</w:t>
            </w:r>
          </w:p>
        </w:tc>
        <w:tc>
          <w:tcPr>
            <w:tcW w:type="dxa" w:w="2016"/>
            <w:shd w:fill="F3F4F6"/>
          </w:tcPr>
          <w:p>
            <w:r>
              <w:rPr>
                <w:color w:val="1F2937"/>
                <w:sz w:val="18"/>
              </w:rPr>
              <w:t>₱40,000 / mo</w:t>
            </w:r>
          </w:p>
        </w:tc>
        <w:tc>
          <w:tcPr>
            <w:tcW w:type="dxa" w:w="2448"/>
            <w:shd w:fill="F3F4F6"/>
          </w:tcPr>
          <w:p>
            <w:r>
              <w:rPr>
                <w:color w:val="1F2937"/>
                <w:sz w:val="18"/>
              </w:rPr>
              <w:t>₱6,000,000</w:t>
            </w:r>
          </w:p>
        </w:tc>
      </w:tr>
      <w:tr>
        <w:tc>
          <w:tcPr>
            <w:tcW w:type="dxa" w:w="2160"/>
            <w:shd w:fill="FFFFFF"/>
          </w:tcPr>
          <w:p>
            <w:r>
              <w:rPr>
                <w:color w:val="1F2937"/>
                <w:sz w:val="18"/>
              </w:rPr>
              <w:t>Month 12 (Regional Scale)</w:t>
            </w:r>
          </w:p>
        </w:tc>
        <w:tc>
          <w:tcPr>
            <w:tcW w:type="dxa" w:w="1728"/>
            <w:shd w:fill="FFFFFF"/>
          </w:tcPr>
          <w:p>
            <w:r>
              <w:rPr>
                <w:color w:val="1F2937"/>
                <w:sz w:val="18"/>
              </w:rPr>
              <w:t>2,000 stores</w:t>
            </w:r>
          </w:p>
        </w:tc>
        <w:tc>
          <w:tcPr>
            <w:tcW w:type="dxa" w:w="1728"/>
            <w:shd w:fill="FFFFFF"/>
          </w:tcPr>
          <w:p>
            <w:r>
              <w:rPr>
                <w:color w:val="1F2937"/>
                <w:sz w:val="18"/>
              </w:rPr>
              <w:t>1,200 stores</w:t>
            </w:r>
          </w:p>
        </w:tc>
        <w:tc>
          <w:tcPr>
            <w:tcW w:type="dxa" w:w="2016"/>
            <w:shd w:fill="FFFFFF"/>
          </w:tcPr>
          <w:p>
            <w:r>
              <w:rPr>
                <w:color w:val="1F2937"/>
                <w:sz w:val="18"/>
              </w:rPr>
              <w:t>₱120,000 / mo</w:t>
            </w:r>
          </w:p>
        </w:tc>
        <w:tc>
          <w:tcPr>
            <w:tcW w:type="dxa" w:w="2448"/>
            <w:shd w:fill="FFFFFF"/>
          </w:tcPr>
          <w:p>
            <w:r>
              <w:rPr>
                <w:color w:val="1F2937"/>
                <w:sz w:val="18"/>
              </w:rPr>
              <w:t>₱25,000,000</w:t>
            </w:r>
          </w:p>
        </w:tc>
      </w:tr>
      <w:tr>
        <w:tc>
          <w:tcPr>
            <w:tcW w:type="dxa" w:w="2160"/>
            <w:shd w:fill="F3F4F6"/>
          </w:tcPr>
          <w:p>
            <w:r>
              <w:rPr>
                <w:color w:val="1F2937"/>
                <w:sz w:val="18"/>
              </w:rPr>
              <w:t>Month 18 (Breakeven / Expansion)</w:t>
            </w:r>
          </w:p>
        </w:tc>
        <w:tc>
          <w:tcPr>
            <w:tcW w:type="dxa" w:w="1728"/>
            <w:shd w:fill="F3F4F6"/>
          </w:tcPr>
          <w:p>
            <w:r>
              <w:rPr>
                <w:color w:val="1F2937"/>
                <w:sz w:val="18"/>
              </w:rPr>
              <w:t>4,500 stores</w:t>
            </w:r>
          </w:p>
        </w:tc>
        <w:tc>
          <w:tcPr>
            <w:tcW w:type="dxa" w:w="1728"/>
            <w:shd w:fill="F3F4F6"/>
          </w:tcPr>
          <w:p>
            <w:r>
              <w:rPr>
                <w:color w:val="1F2937"/>
                <w:sz w:val="18"/>
              </w:rPr>
              <w:t>2,500 stores</w:t>
            </w:r>
          </w:p>
        </w:tc>
        <w:tc>
          <w:tcPr>
            <w:tcW w:type="dxa" w:w="2016"/>
            <w:shd w:fill="F3F4F6"/>
          </w:tcPr>
          <w:p>
            <w:r>
              <w:rPr>
                <w:color w:val="1F2937"/>
                <w:sz w:val="18"/>
              </w:rPr>
              <w:t>₱250,000 / mo</w:t>
            </w:r>
          </w:p>
        </w:tc>
        <w:tc>
          <w:tcPr>
            <w:tcW w:type="dxa" w:w="2448"/>
            <w:shd w:fill="F3F4F6"/>
          </w:tcPr>
          <w:p>
            <w:r>
              <w:rPr>
                <w:color w:val="1F2937"/>
                <w:sz w:val="18"/>
              </w:rPr>
              <w:t>₱65,000,000+</w:t>
            </w:r>
          </w:p>
        </w:tc>
      </w:tr>
    </w:tbl>
    <w:p>
      <w:pPr>
        <w:pStyle w:val="Heading1"/>
        <w:spacing w:before="280"/>
      </w:pPr>
      <w:r>
        <w:t>5. Unit Economics &amp; Investor Metrics</w:t>
      </w:r>
    </w:p>
    <w:p>
      <w:r>
        <w:rPr>
          <w:b/>
        </w:rPr>
        <w:t xml:space="preserve">Customer Acquisition Cost (CAC): </w:t>
      </w:r>
      <w:r>
        <w:t>₱280 PHP (via direct community ambassador clinics and barangay word-of-mouth)</w:t>
        <w:br/>
      </w:r>
      <w:r>
        <w:rPr>
          <w:b/>
        </w:rPr>
        <w:t xml:space="preserve">Monthly Subscription Price (ARPU): </w:t>
      </w:r>
      <w:r>
        <w:t>₱100 PHP / month (flat GCash native pricing)</w:t>
        <w:br/>
      </w:r>
      <w:r>
        <w:rPr>
          <w:b/>
        </w:rPr>
        <w:t xml:space="preserve">Average Merchant Retention: </w:t>
      </w:r>
      <w:r>
        <w:t>22 Months</w:t>
        <w:br/>
      </w:r>
      <w:r>
        <w:rPr>
          <w:b/>
        </w:rPr>
        <w:t xml:space="preserve">Customer Lifetime Value (LTV): </w:t>
      </w:r>
      <w:r>
        <w:t>₱2,200 PHP</w:t>
        <w:br/>
      </w:r>
      <w:r>
        <w:rPr>
          <w:b/>
        </w:rPr>
        <w:t xml:space="preserve">LTV : CAC Ratio: </w:t>
      </w:r>
      <w:r>
        <w:t>7.8x (Industry standard for healthy venture SaaS is &gt; 3.0x)</w:t>
        <w:br/>
      </w:r>
      <w:r>
        <w:rPr>
          <w:b/>
        </w:rPr>
        <w:t xml:space="preserve">Payback Period: </w:t>
      </w:r>
      <w:r>
        <w:t>2.8 Months (Rapid capital recycling)</w:t>
      </w:r>
    </w:p>
    <w:p>
      <w:pPr>
        <w:pStyle w:val="Heading1"/>
        <w:spacing w:before="280"/>
      </w:pPr>
      <w:r>
        <w:t>6. Long-Term FinTech Monetization Levers</w:t>
      </w:r>
    </w:p>
    <w:p>
      <w:r>
        <w:t>1. Micro-SaaS Subscriptions (Current Foundation): ₱100/mo flat for unlimited inventory, analytics, and cloud backups.</w:t>
        <w:br/>
        <w:t>2. FMCG Supplier Marketplace: Aggregating neighborhood wholesale demand (Coca-Cola, Universal Robina, Unilever) for direct distributor drop-shipping, capturing a 2%–3% brokerage take-rate.</w:t>
        <w:br/>
        <w:t>3. Alternative Credit Scoring &amp; Micro-Lending: Partnering with rural banks and microfinance institutions (MFIs) using tamper-proof Stora POS and Utang data to originate working capital loans, earning a 1.5% origination fee.</w:t>
        <w:br/>
        <w:t>4. In-App Digital Payments &amp; Remittance: Facilitating bills payment, cash-in/cash-out, and QR Ph processing fees.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