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EA580C"/>
          <w:sz w:val="44"/>
        </w:rPr>
        <w:t>STORA: Smart Inventory &amp; Micro-Commerce Platform</w:t>
      </w:r>
    </w:p>
    <w:p>
      <w:r>
        <w:rPr>
          <w:color w:val="4B5563"/>
          <w:sz w:val="22"/>
        </w:rPr>
        <w:t>Beginner-Friendly Startup Pitch &amp; Proposed Use of Funds</w:t>
        <w:br/>
        <w:t>Focus: Western Visayas (Region VI — Iloilo &amp; Panay Island) | Year: 2026</w:t>
      </w:r>
    </w:p>
    <w:p>
      <w:pPr>
        <w:spacing w:after="120"/>
      </w:pPr>
    </w:p>
    <w:p>
      <w:pPr>
        <w:pStyle w:val="Heading1"/>
        <w:spacing w:before="200"/>
      </w:pPr>
      <w:r>
        <w:t>1. What is Stora? (Simple Explanation)</w:t>
      </w:r>
    </w:p>
    <w:p>
      <w:r>
        <w:t>In Western Visayas, thousands of neighborhood sari-sari store owners still write daily sales and utang (credits) in paper notebooks called 'talaan'. When the notebook gets lost, wet, or miscalculated, the store loses hard-earned money. Commercial POS machines cost ₱15,000 to ₱40,000 and require credit cards that local nanays and tatays do not have.</w:t>
      </w:r>
    </w:p>
    <w:p>
      <w:r>
        <w:t>Stora is a free, beginner-friendly mobile app that turns any ordinary Android phone into a digital cash register. Store owners can scan barcodes with their camera, calculate change (sukli) automatically, track who owes utang with automatic SMS reminders, and accept GCash without buying any expensive equipment.</w:t>
      </w:r>
    </w:p>
    <w:p>
      <w:pPr>
        <w:pStyle w:val="Heading1"/>
        <w:spacing w:before="240"/>
      </w:pPr>
      <w:r>
        <w:t>2. The Funding Ask (Grounded &amp; Realistic)</w:t>
      </w:r>
    </w:p>
    <w:tbl>
      <w:tblPr>
        <w:tblW w:type="auto" w:w="0"/>
        <w:jc w:val="center"/>
        <w:tblLook w:firstColumn="1" w:firstRow="1" w:lastColumn="0" w:lastRow="0" w:noHBand="0" w:noVBand="1" w:val="04A0"/>
      </w:tblPr>
      <w:tblGrid>
        <w:gridCol w:w="3360"/>
        <w:gridCol w:w="3360"/>
        <w:gridCol w:w="3360"/>
      </w:tblGrid>
      <w:tr>
        <w:tc>
          <w:tcPr>
            <w:tcW w:type="dxa" w:w="3312"/>
            <w:shd w:fill="EA580C"/>
          </w:tcPr>
          <w:p>
            <w:r>
              <w:rPr>
                <w:b/>
                <w:color w:val="FFFFFF"/>
                <w:sz w:val="19"/>
              </w:rPr>
              <w:t>Key Detail</w:t>
            </w:r>
          </w:p>
        </w:tc>
        <w:tc>
          <w:tcPr>
            <w:tcW w:type="dxa" w:w="3312"/>
            <w:shd w:fill="EA580C"/>
          </w:tcPr>
          <w:p>
            <w:r>
              <w:rPr>
                <w:b/>
                <w:color w:val="FFFFFF"/>
                <w:sz w:val="19"/>
              </w:rPr>
              <w:t>Recommended Pilot Target</w:t>
            </w:r>
          </w:p>
        </w:tc>
        <w:tc>
          <w:tcPr>
            <w:tcW w:type="dxa" w:w="3456"/>
            <w:shd w:fill="EA580C"/>
          </w:tcPr>
          <w:p>
            <w:r>
              <w:rPr>
                <w:b/>
                <w:color w:val="FFFFFF"/>
                <w:sz w:val="19"/>
              </w:rPr>
              <w:t>Initial Pilot Tranche</w:t>
            </w:r>
          </w:p>
        </w:tc>
      </w:tr>
      <w:tr>
        <w:tc>
          <w:tcPr>
            <w:tcW w:type="dxa" w:w="3312"/>
            <w:shd w:fill="FFFFFF"/>
          </w:tcPr>
          <w:p>
            <w:r>
              <w:rPr>
                <w:color w:val="1F2937"/>
                <w:sz w:val="18"/>
              </w:rPr>
              <w:t>Funding Amount</w:t>
            </w:r>
          </w:p>
        </w:tc>
        <w:tc>
          <w:tcPr>
            <w:tcW w:type="dxa" w:w="3312"/>
            <w:shd w:fill="FFFFFF"/>
          </w:tcPr>
          <w:p>
            <w:r>
              <w:rPr>
                <w:color w:val="1F2937"/>
                <w:sz w:val="18"/>
              </w:rPr>
              <w:t>₱250,000 PHP (~$4,500 USD)</w:t>
            </w:r>
          </w:p>
        </w:tc>
        <w:tc>
          <w:tcPr>
            <w:tcW w:type="dxa" w:w="3456"/>
            <w:shd w:fill="FFFFFF"/>
          </w:tcPr>
          <w:p>
            <w:r>
              <w:rPr>
                <w:color w:val="1F2937"/>
                <w:sz w:val="18"/>
              </w:rPr>
              <w:t>₱175,000 PHP (~$3,100 USD)</w:t>
            </w:r>
          </w:p>
        </w:tc>
      </w:tr>
      <w:tr>
        <w:tc>
          <w:tcPr>
            <w:tcW w:type="dxa" w:w="3312"/>
            <w:shd w:fill="F3F4F6"/>
          </w:tcPr>
          <w:p>
            <w:r>
              <w:rPr>
                <w:color w:val="1F2937"/>
                <w:sz w:val="18"/>
              </w:rPr>
              <w:t>Project Runway</w:t>
            </w:r>
          </w:p>
        </w:tc>
        <w:tc>
          <w:tcPr>
            <w:tcW w:type="dxa" w:w="3312"/>
            <w:shd w:fill="F3F4F6"/>
          </w:tcPr>
          <w:p>
            <w:r>
              <w:rPr>
                <w:color w:val="1F2937"/>
                <w:sz w:val="18"/>
              </w:rPr>
              <w:t>6 to 8 Months</w:t>
            </w:r>
          </w:p>
        </w:tc>
        <w:tc>
          <w:tcPr>
            <w:tcW w:type="dxa" w:w="3456"/>
            <w:shd w:fill="F3F4F6"/>
          </w:tcPr>
          <w:p>
            <w:r>
              <w:rPr>
                <w:color w:val="1F2937"/>
                <w:sz w:val="18"/>
              </w:rPr>
              <w:t>4 to 6 Months</w:t>
            </w:r>
          </w:p>
        </w:tc>
      </w:tr>
      <w:tr>
        <w:tc>
          <w:tcPr>
            <w:tcW w:type="dxa" w:w="3312"/>
            <w:shd w:fill="FFFFFF"/>
          </w:tcPr>
          <w:p>
            <w:r>
              <w:rPr>
                <w:color w:val="1F2937"/>
                <w:sz w:val="18"/>
              </w:rPr>
              <w:t>Target Area</w:t>
            </w:r>
          </w:p>
        </w:tc>
        <w:tc>
          <w:tcPr>
            <w:tcW w:type="dxa" w:w="3312"/>
            <w:shd w:fill="FFFFFF"/>
          </w:tcPr>
          <w:p>
            <w:r>
              <w:rPr>
                <w:color w:val="1F2937"/>
                <w:sz w:val="18"/>
              </w:rPr>
              <w:t>Iloilo Province (Pototan, Dingle, Metro Iloilo)</w:t>
            </w:r>
          </w:p>
        </w:tc>
        <w:tc>
          <w:tcPr>
            <w:tcW w:type="dxa" w:w="3456"/>
            <w:shd w:fill="FFFFFF"/>
          </w:tcPr>
          <w:p>
            <w:r>
              <w:rPr>
                <w:color w:val="1F2937"/>
                <w:sz w:val="18"/>
              </w:rPr>
              <w:t>Pototan &amp; Barotac Nuevo (Pilot)</w:t>
            </w:r>
          </w:p>
        </w:tc>
      </w:tr>
      <w:tr>
        <w:tc>
          <w:tcPr>
            <w:tcW w:type="dxa" w:w="3312"/>
            <w:shd w:fill="F3F4F6"/>
          </w:tcPr>
          <w:p>
            <w:r>
              <w:rPr>
                <w:color w:val="1F2937"/>
                <w:sz w:val="18"/>
              </w:rPr>
              <w:t>Target Onboarded Stores</w:t>
            </w:r>
          </w:p>
        </w:tc>
        <w:tc>
          <w:tcPr>
            <w:tcW w:type="dxa" w:w="3312"/>
            <w:shd w:fill="F3F4F6"/>
          </w:tcPr>
          <w:p>
            <w:r>
              <w:rPr>
                <w:color w:val="1F2937"/>
                <w:sz w:val="18"/>
              </w:rPr>
              <w:t>150 – 200 Sari-Sari Stores</w:t>
            </w:r>
          </w:p>
        </w:tc>
        <w:tc>
          <w:tcPr>
            <w:tcW w:type="dxa" w:w="3456"/>
            <w:shd w:fill="F3F4F6"/>
          </w:tcPr>
          <w:p>
            <w:r>
              <w:rPr>
                <w:color w:val="1F2937"/>
                <w:sz w:val="18"/>
              </w:rPr>
              <w:t>100 Sari-Sari Stores</w:t>
            </w:r>
          </w:p>
        </w:tc>
      </w:tr>
      <w:tr>
        <w:tc>
          <w:tcPr>
            <w:tcW w:type="dxa" w:w="3312"/>
            <w:shd w:fill="FFFFFF"/>
          </w:tcPr>
          <w:p>
            <w:r>
              <w:rPr>
                <w:color w:val="1F2937"/>
                <w:sz w:val="18"/>
              </w:rPr>
              <w:t>Target Paying Subscribers</w:t>
            </w:r>
          </w:p>
        </w:tc>
        <w:tc>
          <w:tcPr>
            <w:tcW w:type="dxa" w:w="3312"/>
            <w:shd w:fill="FFFFFF"/>
          </w:tcPr>
          <w:p>
            <w:r>
              <w:rPr>
                <w:color w:val="1F2937"/>
                <w:sz w:val="18"/>
              </w:rPr>
              <w:t>40 – 50 Stores (₱100/month)</w:t>
            </w:r>
          </w:p>
        </w:tc>
        <w:tc>
          <w:tcPr>
            <w:tcW w:type="dxa" w:w="3456"/>
            <w:shd w:fill="FFFFFF"/>
          </w:tcPr>
          <w:p>
            <w:r>
              <w:rPr>
                <w:color w:val="1F2937"/>
                <w:sz w:val="18"/>
              </w:rPr>
              <w:t>20 – 30 Stores (₱100/month)</w:t>
            </w:r>
          </w:p>
        </w:tc>
      </w:tr>
      <w:tr>
        <w:tc>
          <w:tcPr>
            <w:tcW w:type="dxa" w:w="3312"/>
            <w:shd w:fill="F3F4F6"/>
          </w:tcPr>
          <w:p>
            <w:r>
              <w:rPr>
                <w:color w:val="1F2937"/>
                <w:sz w:val="18"/>
              </w:rPr>
              <w:t>Funding Source</w:t>
            </w:r>
          </w:p>
        </w:tc>
        <w:tc>
          <w:tcPr>
            <w:tcW w:type="dxa" w:w="3312"/>
            <w:shd w:fill="F3F4F6"/>
          </w:tcPr>
          <w:p>
            <w:r>
              <w:rPr>
                <w:color w:val="1F2937"/>
                <w:sz w:val="18"/>
              </w:rPr>
              <w:t>DICT PSC XI Seed / Local Angel / School Grant</w:t>
            </w:r>
          </w:p>
        </w:tc>
        <w:tc>
          <w:tcPr>
            <w:tcW w:type="dxa" w:w="3456"/>
            <w:shd w:fill="F3F4F6"/>
          </w:tcPr>
          <w:p>
            <w:r>
              <w:rPr>
                <w:color w:val="1F2937"/>
                <w:sz w:val="18"/>
              </w:rPr>
              <w:t>DICT Grant Competition Prize</w:t>
            </w:r>
          </w:p>
        </w:tc>
      </w:tr>
    </w:tbl>
    <w:p>
      <w:pPr>
        <w:pStyle w:val="Heading1"/>
        <w:spacing w:before="240"/>
      </w:pPr>
      <w:r>
        <w:t>3. Proposed Use of Funds Breakdown (₱250,000 Budget)</w:t>
      </w:r>
    </w:p>
    <w:tbl>
      <w:tblPr>
        <w:tblW w:type="auto" w:w="0"/>
        <w:jc w:val="center"/>
        <w:tblLook w:firstColumn="1" w:firstRow="1" w:lastColumn="0" w:lastRow="0" w:noHBand="0" w:noVBand="1" w:val="04A0"/>
      </w:tblPr>
      <w:tblGrid>
        <w:gridCol w:w="2520"/>
        <w:gridCol w:w="2520"/>
        <w:gridCol w:w="2520"/>
        <w:gridCol w:w="2520"/>
      </w:tblGrid>
      <w:tr>
        <w:tc>
          <w:tcPr>
            <w:tcW w:type="dxa" w:w="2592"/>
            <w:shd w:fill="EA580C"/>
          </w:tcPr>
          <w:p>
            <w:r>
              <w:rPr>
                <w:b/>
                <w:color w:val="FFFFFF"/>
                <w:sz w:val="19"/>
              </w:rPr>
              <w:t>Budget Category</w:t>
            </w:r>
          </w:p>
        </w:tc>
        <w:tc>
          <w:tcPr>
            <w:tcW w:type="dxa" w:w="1584"/>
            <w:shd w:fill="EA580C"/>
          </w:tcPr>
          <w:p>
            <w:r>
              <w:rPr>
                <w:b/>
                <w:color w:val="FFFFFF"/>
                <w:sz w:val="19"/>
              </w:rPr>
              <w:t>Amount (PHP)</w:t>
            </w:r>
          </w:p>
        </w:tc>
        <w:tc>
          <w:tcPr>
            <w:tcW w:type="dxa" w:w="1152"/>
            <w:shd w:fill="EA580C"/>
          </w:tcPr>
          <w:p>
            <w:r>
              <w:rPr>
                <w:b/>
                <w:color w:val="FFFFFF"/>
                <w:sz w:val="19"/>
              </w:rPr>
              <w:t>Share</w:t>
            </w:r>
          </w:p>
        </w:tc>
        <w:tc>
          <w:tcPr>
            <w:tcW w:type="dxa" w:w="4752"/>
            <w:shd w:fill="EA580C"/>
          </w:tcPr>
          <w:p>
            <w:r>
              <w:rPr>
                <w:b/>
                <w:color w:val="FFFFFF"/>
                <w:sz w:val="19"/>
              </w:rPr>
              <w:t>What This Pays For</w:t>
            </w:r>
          </w:p>
        </w:tc>
      </w:tr>
      <w:tr>
        <w:tc>
          <w:tcPr>
            <w:tcW w:type="dxa" w:w="2592"/>
            <w:shd w:fill="FFFFFF"/>
          </w:tcPr>
          <w:p>
            <w:r>
              <w:rPr>
                <w:color w:val="1F2937"/>
                <w:sz w:val="18"/>
              </w:rPr>
              <w:t>1. Field Onboarding &amp; Kits</w:t>
            </w:r>
          </w:p>
        </w:tc>
        <w:tc>
          <w:tcPr>
            <w:tcW w:type="dxa" w:w="1584"/>
            <w:shd w:fill="FFFFFF"/>
          </w:tcPr>
          <w:p>
            <w:r>
              <w:rPr>
                <w:color w:val="1F2937"/>
                <w:sz w:val="18"/>
              </w:rPr>
              <w:t>₱87,500</w:t>
            </w:r>
          </w:p>
        </w:tc>
        <w:tc>
          <w:tcPr>
            <w:tcW w:type="dxa" w:w="1152"/>
            <w:shd w:fill="FFFFFF"/>
          </w:tcPr>
          <w:p>
            <w:r>
              <w:rPr>
                <w:color w:val="1F2937"/>
                <w:sz w:val="18"/>
              </w:rPr>
              <w:t>35.0%</w:t>
            </w:r>
          </w:p>
        </w:tc>
        <w:tc>
          <w:tcPr>
            <w:tcW w:type="dxa" w:w="4752"/>
            <w:shd w:fill="FFFFFF"/>
          </w:tcPr>
          <w:p>
            <w:r>
              <w:rPr>
                <w:color w:val="1F2937"/>
                <w:sz w:val="18"/>
              </w:rPr>
              <w:t>150 acrylic GCash QR standees &amp; stickers (₱120 each = ₱18,000), travel across Iloilo municipalities (Pototan, Barotac Nuevo, Dingle, Jaro), snacks for 5 barangay nanay workshops, and quick guides in Hiligaynon.</w:t>
            </w:r>
          </w:p>
        </w:tc>
      </w:tr>
      <w:tr>
        <w:tc>
          <w:tcPr>
            <w:tcW w:type="dxa" w:w="2592"/>
            <w:shd w:fill="F3F4F6"/>
          </w:tcPr>
          <w:p>
            <w:r>
              <w:rPr>
                <w:color w:val="1F2937"/>
                <w:sz w:val="18"/>
              </w:rPr>
              <w:t>2. Cloud Server &amp; SMS Credits</w:t>
            </w:r>
          </w:p>
        </w:tc>
        <w:tc>
          <w:tcPr>
            <w:tcW w:type="dxa" w:w="1584"/>
            <w:shd w:fill="F3F4F6"/>
          </w:tcPr>
          <w:p>
            <w:r>
              <w:rPr>
                <w:color w:val="1F2937"/>
                <w:sz w:val="18"/>
              </w:rPr>
              <w:t>₱62,500</w:t>
            </w:r>
          </w:p>
        </w:tc>
        <w:tc>
          <w:tcPr>
            <w:tcW w:type="dxa" w:w="1152"/>
            <w:shd w:fill="F3F4F6"/>
          </w:tcPr>
          <w:p>
            <w:r>
              <w:rPr>
                <w:color w:val="1F2937"/>
                <w:sz w:val="18"/>
              </w:rPr>
              <w:t>25.0%</w:t>
            </w:r>
          </w:p>
        </w:tc>
        <w:tc>
          <w:tcPr>
            <w:tcW w:type="dxa" w:w="4752"/>
            <w:shd w:fill="F3F4F6"/>
          </w:tcPr>
          <w:p>
            <w:r>
              <w:rPr>
                <w:color w:val="1F2937"/>
                <w:sz w:val="18"/>
              </w:rPr>
              <w:t>Django backend &amp; PostgreSQL hosting for 8 months (Render/DigitalOcean at ~₱1,800/mo), Cloudinary photo storage, 4,000 SMS credits for automated utang reminders, and Google Play Store developer account.</w:t>
            </w:r>
          </w:p>
        </w:tc>
      </w:tr>
      <w:tr>
        <w:tc>
          <w:tcPr>
            <w:tcW w:type="dxa" w:w="2592"/>
            <w:shd w:fill="FFFFFF"/>
          </w:tcPr>
          <w:p>
            <w:r>
              <w:rPr>
                <w:color w:val="1F2937"/>
                <w:sz w:val="18"/>
              </w:rPr>
              <w:t>3. Team Allowance &amp; Test Phones</w:t>
            </w:r>
          </w:p>
        </w:tc>
        <w:tc>
          <w:tcPr>
            <w:tcW w:type="dxa" w:w="1584"/>
            <w:shd w:fill="FFFFFF"/>
          </w:tcPr>
          <w:p>
            <w:r>
              <w:rPr>
                <w:color w:val="1F2937"/>
                <w:sz w:val="18"/>
              </w:rPr>
              <w:t>₱62,500</w:t>
            </w:r>
          </w:p>
        </w:tc>
        <w:tc>
          <w:tcPr>
            <w:tcW w:type="dxa" w:w="1152"/>
            <w:shd w:fill="FFFFFF"/>
          </w:tcPr>
          <w:p>
            <w:r>
              <w:rPr>
                <w:color w:val="1F2937"/>
                <w:sz w:val="18"/>
              </w:rPr>
              <w:t>25.0%</w:t>
            </w:r>
          </w:p>
        </w:tc>
        <w:tc>
          <w:tcPr>
            <w:tcW w:type="dxa" w:w="4752"/>
            <w:shd w:fill="FFFFFF"/>
          </w:tcPr>
          <w:p>
            <w:r>
              <w:rPr>
                <w:color w:val="1F2937"/>
                <w:sz w:val="18"/>
              </w:rPr>
              <w:t>2 budget Android phones (₱4,500 each = ₱9,000) to test zero-lag performance on real phones used by nanays, plus student developer internet/connectivity allowance.</w:t>
            </w:r>
          </w:p>
        </w:tc>
      </w:tr>
      <w:tr>
        <w:tc>
          <w:tcPr>
            <w:tcW w:type="dxa" w:w="2592"/>
            <w:shd w:fill="F3F4F6"/>
          </w:tcPr>
          <w:p>
            <w:r>
              <w:rPr>
                <w:color w:val="1F2937"/>
                <w:sz w:val="18"/>
              </w:rPr>
              <w:t>4. Permits &amp; Emergency Reserve</w:t>
            </w:r>
          </w:p>
        </w:tc>
        <w:tc>
          <w:tcPr>
            <w:tcW w:type="dxa" w:w="1584"/>
            <w:shd w:fill="F3F4F6"/>
          </w:tcPr>
          <w:p>
            <w:r>
              <w:rPr>
                <w:color w:val="1F2937"/>
                <w:sz w:val="18"/>
              </w:rPr>
              <w:t>₱37,500</w:t>
            </w:r>
          </w:p>
        </w:tc>
        <w:tc>
          <w:tcPr>
            <w:tcW w:type="dxa" w:w="1152"/>
            <w:shd w:fill="F3F4F6"/>
          </w:tcPr>
          <w:p>
            <w:r>
              <w:rPr>
                <w:color w:val="1F2937"/>
                <w:sz w:val="18"/>
              </w:rPr>
              <w:t>15.0%</w:t>
            </w:r>
          </w:p>
        </w:tc>
        <w:tc>
          <w:tcPr>
            <w:tcW w:type="dxa" w:w="4752"/>
            <w:shd w:fill="F3F4F6"/>
          </w:tcPr>
          <w:p>
            <w:r>
              <w:rPr>
                <w:color w:val="1F2937"/>
                <w:sz w:val="18"/>
              </w:rPr>
              <w:t>DTI business name registration, barangay clearances, and an emergency contingency buffer for unexpected cloud fees or travel costs.</w:t>
            </w:r>
          </w:p>
        </w:tc>
      </w:tr>
      <w:tr>
        <w:tc>
          <w:tcPr>
            <w:tcW w:type="dxa" w:w="2592"/>
            <w:shd w:fill="FFFFFF"/>
          </w:tcPr>
          <w:p>
            <w:r>
              <w:rPr>
                <w:color w:val="1F2937"/>
                <w:sz w:val="18"/>
              </w:rPr>
              <w:t>TOTAL PILOT BUDGET</w:t>
            </w:r>
          </w:p>
        </w:tc>
        <w:tc>
          <w:tcPr>
            <w:tcW w:type="dxa" w:w="1584"/>
            <w:shd w:fill="FFFFFF"/>
          </w:tcPr>
          <w:p>
            <w:r>
              <w:rPr>
                <w:color w:val="1F2937"/>
                <w:sz w:val="18"/>
              </w:rPr>
              <w:t>₱250,000</w:t>
            </w:r>
          </w:p>
        </w:tc>
        <w:tc>
          <w:tcPr>
            <w:tcW w:type="dxa" w:w="1152"/>
            <w:shd w:fill="FFFFFF"/>
          </w:tcPr>
          <w:p>
            <w:r>
              <w:rPr>
                <w:color w:val="1F2937"/>
                <w:sz w:val="18"/>
              </w:rPr>
              <w:t>100.0%</w:t>
            </w:r>
          </w:p>
        </w:tc>
        <w:tc>
          <w:tcPr>
            <w:tcW w:type="dxa" w:w="4752"/>
            <w:shd w:fill="FFFFFF"/>
          </w:tcPr>
          <w:p>
            <w:r>
              <w:rPr>
                <w:color w:val="1F2937"/>
                <w:sz w:val="18"/>
              </w:rPr>
              <w:t>Full 6 to 8-Month Western Visayas Pilot Runway</w:t>
            </w:r>
          </w:p>
        </w:tc>
      </w:tr>
    </w:tbl>
    <w:p>
      <w:pPr>
        <w:pStyle w:val="Heading1"/>
        <w:spacing w:before="240"/>
      </w:pPr>
      <w:r>
        <w:t>4. 6-Month Western Visayas Milestones</w:t>
      </w:r>
    </w:p>
    <w:tbl>
      <w:tblPr>
        <w:tblW w:type="auto" w:w="0"/>
        <w:jc w:val="center"/>
        <w:tblLook w:firstColumn="1" w:firstRow="1" w:lastColumn="0" w:lastRow="0" w:noHBand="0" w:noVBand="1" w:val="04A0"/>
      </w:tblPr>
      <w:tblGrid>
        <w:gridCol w:w="2520"/>
        <w:gridCol w:w="2520"/>
        <w:gridCol w:w="2520"/>
        <w:gridCol w:w="2520"/>
      </w:tblGrid>
      <w:tr>
        <w:tc>
          <w:tcPr>
            <w:tcW w:type="dxa" w:w="2304"/>
            <w:shd w:fill="EA580C"/>
          </w:tcPr>
          <w:p>
            <w:r>
              <w:rPr>
                <w:b/>
                <w:color w:val="FFFFFF"/>
                <w:sz w:val="19"/>
              </w:rPr>
              <w:t>Timeline</w:t>
            </w:r>
          </w:p>
        </w:tc>
        <w:tc>
          <w:tcPr>
            <w:tcW w:type="dxa" w:w="2592"/>
            <w:shd w:fill="EA580C"/>
          </w:tcPr>
          <w:p>
            <w:r>
              <w:rPr>
                <w:b/>
                <w:color w:val="FFFFFF"/>
                <w:sz w:val="19"/>
              </w:rPr>
              <w:t>Target Municipalities</w:t>
            </w:r>
          </w:p>
        </w:tc>
        <w:tc>
          <w:tcPr>
            <w:tcW w:type="dxa" w:w="2016"/>
            <w:shd w:fill="EA580C"/>
          </w:tcPr>
          <w:p>
            <w:r>
              <w:rPr>
                <w:b/>
                <w:color w:val="FFFFFF"/>
                <w:sz w:val="19"/>
              </w:rPr>
              <w:t>Target Stores</w:t>
            </w:r>
          </w:p>
        </w:tc>
        <w:tc>
          <w:tcPr>
            <w:tcW w:type="dxa" w:w="3168"/>
            <w:shd w:fill="EA580C"/>
          </w:tcPr>
          <w:p>
            <w:r>
              <w:rPr>
                <w:b/>
                <w:color w:val="FFFFFF"/>
                <w:sz w:val="19"/>
              </w:rPr>
              <w:t>Key Deliverable</w:t>
            </w:r>
          </w:p>
        </w:tc>
      </w:tr>
      <w:tr>
        <w:tc>
          <w:tcPr>
            <w:tcW w:type="dxa" w:w="2304"/>
            <w:shd w:fill="FFFFFF"/>
          </w:tcPr>
          <w:p>
            <w:r>
              <w:rPr>
                <w:color w:val="1F2937"/>
                <w:sz w:val="18"/>
              </w:rPr>
              <w:t>Months 1 – 2</w:t>
            </w:r>
          </w:p>
        </w:tc>
        <w:tc>
          <w:tcPr>
            <w:tcW w:type="dxa" w:w="2592"/>
            <w:shd w:fill="FFFFFF"/>
          </w:tcPr>
          <w:p>
            <w:r>
              <w:rPr>
                <w:color w:val="1F2937"/>
                <w:sz w:val="18"/>
              </w:rPr>
              <w:t>Pototan &amp; Barotac Nuevo</w:t>
            </w:r>
          </w:p>
        </w:tc>
        <w:tc>
          <w:tcPr>
            <w:tcW w:type="dxa" w:w="2016"/>
            <w:shd w:fill="FFFFFF"/>
          </w:tcPr>
          <w:p>
            <w:r>
              <w:rPr>
                <w:color w:val="1F2937"/>
                <w:sz w:val="18"/>
              </w:rPr>
              <w:t>30 Stores</w:t>
            </w:r>
          </w:p>
        </w:tc>
        <w:tc>
          <w:tcPr>
            <w:tcW w:type="dxa" w:w="3168"/>
            <w:shd w:fill="FFFFFF"/>
          </w:tcPr>
          <w:p>
            <w:r>
              <w:rPr>
                <w:color w:val="1F2937"/>
                <w:sz w:val="18"/>
              </w:rPr>
              <w:t>Test camera barcode scanning and verify offline cash calculations with pilot nanays.</w:t>
            </w:r>
          </w:p>
        </w:tc>
      </w:tr>
      <w:tr>
        <w:tc>
          <w:tcPr>
            <w:tcW w:type="dxa" w:w="2304"/>
            <w:shd w:fill="F3F4F6"/>
          </w:tcPr>
          <w:p>
            <w:r>
              <w:rPr>
                <w:color w:val="1F2937"/>
                <w:sz w:val="18"/>
              </w:rPr>
              <w:t>Months 3 – 4</w:t>
            </w:r>
          </w:p>
        </w:tc>
        <w:tc>
          <w:tcPr>
            <w:tcW w:type="dxa" w:w="2592"/>
            <w:shd w:fill="F3F4F6"/>
          </w:tcPr>
          <w:p>
            <w:r>
              <w:rPr>
                <w:color w:val="1F2937"/>
                <w:sz w:val="18"/>
              </w:rPr>
              <w:t>Dingle, Passi &amp; Central Iloilo</w:t>
            </w:r>
          </w:p>
        </w:tc>
        <w:tc>
          <w:tcPr>
            <w:tcW w:type="dxa" w:w="2016"/>
            <w:shd w:fill="F3F4F6"/>
          </w:tcPr>
          <w:p>
            <w:r>
              <w:rPr>
                <w:color w:val="1F2937"/>
                <w:sz w:val="18"/>
              </w:rPr>
              <w:t>100 Stores</w:t>
            </w:r>
          </w:p>
        </w:tc>
        <w:tc>
          <w:tcPr>
            <w:tcW w:type="dxa" w:w="3168"/>
            <w:shd w:fill="F3F4F6"/>
          </w:tcPr>
          <w:p>
            <w:r>
              <w:rPr>
                <w:color w:val="1F2937"/>
                <w:sz w:val="18"/>
              </w:rPr>
              <w:t>Distribute laminated QR standees and test automated SMS utang payment reminders.</w:t>
            </w:r>
          </w:p>
        </w:tc>
      </w:tr>
      <w:tr>
        <w:tc>
          <w:tcPr>
            <w:tcW w:type="dxa" w:w="2304"/>
            <w:shd w:fill="FFFFFF"/>
          </w:tcPr>
          <w:p>
            <w:r>
              <w:rPr>
                <w:color w:val="1F2937"/>
                <w:sz w:val="18"/>
              </w:rPr>
              <w:t>Months 5 – 6</w:t>
            </w:r>
          </w:p>
        </w:tc>
        <w:tc>
          <w:tcPr>
            <w:tcW w:type="dxa" w:w="2592"/>
            <w:shd w:fill="FFFFFF"/>
          </w:tcPr>
          <w:p>
            <w:r>
              <w:rPr>
                <w:color w:val="1F2937"/>
                <w:sz w:val="18"/>
              </w:rPr>
              <w:t>Metro Iloilo &amp; Neighboring Towns</w:t>
            </w:r>
          </w:p>
        </w:tc>
        <w:tc>
          <w:tcPr>
            <w:tcW w:type="dxa" w:w="2016"/>
            <w:shd w:fill="FFFFFF"/>
          </w:tcPr>
          <w:p>
            <w:r>
              <w:rPr>
                <w:color w:val="1F2937"/>
                <w:sz w:val="18"/>
              </w:rPr>
              <w:t>150 – 200 Stores</w:t>
            </w:r>
          </w:p>
        </w:tc>
        <w:tc>
          <w:tcPr>
            <w:tcW w:type="dxa" w:w="3168"/>
            <w:shd w:fill="FFFFFF"/>
          </w:tcPr>
          <w:p>
            <w:r>
              <w:rPr>
                <w:color w:val="1F2937"/>
                <w:sz w:val="18"/>
              </w:rPr>
              <w:t>Validate the ₱100/month subscription with at least 40–50 paying stores.</w:t>
            </w:r>
          </w:p>
        </w:tc>
      </w:tr>
    </w:tbl>
    <w:p>
      <w:pPr>
        <w:pStyle w:val="Heading1"/>
        <w:spacing w:before="240"/>
      </w:pPr>
      <w:r>
        <w:t>5. 1-Minute Pitch Script for DICT PSC XI Judges</w:t>
      </w:r>
    </w:p>
    <w:p>
      <w:r>
        <w:t>"Good day, judges and investors! Here in Western Visayas, our neighborhood sari-sari stores are the lifeblood of our communities. But our nanays and tatays still use paper notebooks to track their sales and utang. When notebooks get lost or damaged, they lose their money.</w:t>
        <w:br/>
        <w:br/>
        <w:t>That is why we built STORA. Stora is a lightweight mobile app that turns any existing smartphone into a digital cash register. Store owners can scan barcodes, compute sukli automatically, track customer utang with friendly reminders, and show their GCash QR code to walk-in buyers without buying expensive machines.</w:t>
        <w:br/>
        <w:br/>
        <w:t>Today, our app is fully working. We are asking for ₱250,000 PHP to fund an 8-month pilot across Iloilo. This will provide physical QR standees for 150 stores, essential cloud hosting, and on-the-ground barangay training.</w:t>
        <w:br/>
        <w:br/>
        <w:t>Help us bring digital financial inclusion to Western Visayas, one sari-sari store at a time. Thank you!"</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