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577F4" w14:textId="77777777" w:rsidR="00AC2CEB" w:rsidRDefault="00000000" w:rsidP="00D02B46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0377936D" w14:textId="77777777" w:rsidR="00AC2CEB" w:rsidRDefault="00000000">
      <w:r>
        <w:t>Case Number: 10</w:t>
      </w:r>
    </w:p>
    <w:p w14:paraId="1D5F7087" w14:textId="1548C76B" w:rsidR="00AC2CEB" w:rsidRDefault="00000000">
      <w:r>
        <w:t xml:space="preserve">Age of </w:t>
      </w:r>
      <w:r w:rsidR="00D02B46">
        <w:t xml:space="preserve">diagnosis for </w:t>
      </w:r>
      <w:r>
        <w:t>Affected Patient: 40</w:t>
      </w:r>
    </w:p>
    <w:p w14:paraId="716C99CC" w14:textId="4AF57CD0" w:rsidR="00AC2CEB" w:rsidRDefault="00000000">
      <w:r>
        <w:t xml:space="preserve">Family History: </w:t>
      </w:r>
      <w:r w:rsidR="00BF4FC1">
        <w:t xml:space="preserve">Maternal </w:t>
      </w:r>
      <w:r>
        <w:t>Aunt ovarian cancer at age 50</w:t>
      </w:r>
    </w:p>
    <w:p w14:paraId="22F1E4F7" w14:textId="77777777" w:rsidR="00D02B46" w:rsidRDefault="00D02B46"/>
    <w:p w14:paraId="41BB1B00" w14:textId="77777777" w:rsidR="00D02B46" w:rsidRPr="000C581B" w:rsidRDefault="00D02B46" w:rsidP="00D02B46">
      <w:pPr>
        <w:rPr>
          <w:lang w:val="en-GB"/>
        </w:rPr>
      </w:pPr>
      <w:r w:rsidRPr="000C581B">
        <w:rPr>
          <w:lang w:val="en-GB"/>
        </w:rPr>
        <w:t>Diagnosis:</w:t>
      </w:r>
    </w:p>
    <w:p w14:paraId="42079609" w14:textId="27957409" w:rsidR="00D02B46" w:rsidRPr="000C581B" w:rsidRDefault="00D02B46" w:rsidP="00D02B46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 xml:space="preserve">Invasive breast carcinoma of no special type, grade </w:t>
      </w:r>
      <w:r>
        <w:rPr>
          <w:lang w:val="en-GB"/>
        </w:rPr>
        <w:t>3</w:t>
      </w:r>
      <w:r w:rsidRPr="000C581B">
        <w:rPr>
          <w:lang w:val="en-GB"/>
        </w:rPr>
        <w:t>.</w:t>
      </w:r>
    </w:p>
    <w:p w14:paraId="3813A93E" w14:textId="77777777" w:rsidR="00D02B46" w:rsidRDefault="00D02B46" w:rsidP="00D02B46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Intermediate grade ductal carcinoma in situ (DCIS) with a solid pattern.</w:t>
      </w:r>
    </w:p>
    <w:p w14:paraId="65507E6C" w14:textId="77777777" w:rsidR="00D02B46" w:rsidRPr="000C581B" w:rsidRDefault="00D02B46" w:rsidP="00D02B46">
      <w:pPr>
        <w:ind w:left="1440"/>
        <w:rPr>
          <w:lang w:val="en-GB"/>
        </w:rPr>
      </w:pPr>
    </w:p>
    <w:p w14:paraId="01CA1CAF" w14:textId="34D449B9" w:rsidR="00D02B46" w:rsidRPr="00D02B46" w:rsidRDefault="00D02B46" w:rsidP="00D02B46">
      <w:pPr>
        <w:rPr>
          <w:lang w:val="en-GB"/>
        </w:rPr>
      </w:pPr>
      <w:r w:rsidRPr="000C581B">
        <w:rPr>
          <w:lang w:val="en-GB"/>
        </w:rPr>
        <w:t>Hormone Receptor Status:</w:t>
      </w:r>
    </w:p>
    <w:p w14:paraId="6E550E22" w14:textId="77777777" w:rsidR="00AC2CEB" w:rsidRDefault="00000000">
      <w:r>
        <w:t>ER Status: Positive</w:t>
      </w:r>
    </w:p>
    <w:p w14:paraId="500C2543" w14:textId="77777777" w:rsidR="00AC2CEB" w:rsidRDefault="00000000">
      <w:r>
        <w:t>PR Status: Negative</w:t>
      </w:r>
    </w:p>
    <w:p w14:paraId="7CFE5F5E" w14:textId="77777777" w:rsidR="00AC2CEB" w:rsidRDefault="00000000">
      <w:r>
        <w:t>HER2 Status: Positive</w:t>
      </w:r>
    </w:p>
    <w:sectPr w:rsidR="00AC2CEB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27183923">
    <w:abstractNumId w:val="2"/>
  </w:num>
  <w:num w:numId="2" w16cid:durableId="973219993">
    <w:abstractNumId w:val="3"/>
  </w:num>
  <w:num w:numId="3" w16cid:durableId="1931311197">
    <w:abstractNumId w:val="0"/>
  </w:num>
  <w:num w:numId="4" w16cid:durableId="102409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CEB"/>
    <w:rsid w:val="00AC2CEB"/>
    <w:rsid w:val="00B0337F"/>
    <w:rsid w:val="00BF4FC1"/>
    <w:rsid w:val="00D0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B30D2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2025-01-22T16:23:00Z</dcterms:modified>
  <cp:category/>
</cp:coreProperties>
</file>