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70A4" w14:textId="77777777" w:rsidR="00B94605" w:rsidRDefault="00000000" w:rsidP="00AE56B0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72F012D9" w14:textId="77777777" w:rsidR="00B94605" w:rsidRDefault="00000000">
      <w:r>
        <w:t>Case Number: 16</w:t>
      </w:r>
    </w:p>
    <w:p w14:paraId="7F1015C6" w14:textId="2C2A2E0F" w:rsidR="00B94605" w:rsidRDefault="00000000">
      <w:r>
        <w:t xml:space="preserve">Age of </w:t>
      </w:r>
      <w:r w:rsidR="00AE56B0">
        <w:t xml:space="preserve">diagnosis for </w:t>
      </w:r>
      <w:r>
        <w:t>Affected Patient: 28</w:t>
      </w:r>
    </w:p>
    <w:p w14:paraId="27205261" w14:textId="77777777" w:rsidR="00B94605" w:rsidRDefault="00000000">
      <w:r>
        <w:t>Family History: Mother breast cancer at age 48</w:t>
      </w:r>
    </w:p>
    <w:p w14:paraId="4D8F92E3" w14:textId="77777777" w:rsidR="00AE56B0" w:rsidRDefault="00AE56B0"/>
    <w:p w14:paraId="255B2C1D" w14:textId="77777777" w:rsidR="00AE56B0" w:rsidRPr="000C581B" w:rsidRDefault="00AE56B0" w:rsidP="00AE56B0">
      <w:pPr>
        <w:rPr>
          <w:lang w:val="en-GB"/>
        </w:rPr>
      </w:pPr>
      <w:r w:rsidRPr="000C581B">
        <w:rPr>
          <w:lang w:val="en-GB"/>
        </w:rPr>
        <w:t>Diagnosis:</w:t>
      </w:r>
    </w:p>
    <w:p w14:paraId="35B8242F" w14:textId="77777777" w:rsidR="00AE56B0" w:rsidRPr="000C581B" w:rsidRDefault="00AE56B0" w:rsidP="00AE56B0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Invasive breast carcinoma of no special type, grade 2.</w:t>
      </w:r>
    </w:p>
    <w:p w14:paraId="7450FC22" w14:textId="77777777" w:rsidR="00AE56B0" w:rsidRDefault="00AE56B0" w:rsidP="00AE56B0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Intermediate grade ductal carcinoma in situ (DCIS) with a solid pattern.</w:t>
      </w:r>
    </w:p>
    <w:p w14:paraId="61E5951E" w14:textId="77777777" w:rsidR="00AE56B0" w:rsidRPr="000C581B" w:rsidRDefault="00AE56B0" w:rsidP="00AE56B0">
      <w:pPr>
        <w:ind w:left="1440"/>
        <w:rPr>
          <w:lang w:val="en-GB"/>
        </w:rPr>
      </w:pPr>
    </w:p>
    <w:p w14:paraId="4614C1CA" w14:textId="17B99F07" w:rsidR="00AE56B0" w:rsidRPr="00AE56B0" w:rsidRDefault="00AE56B0" w:rsidP="00AE56B0">
      <w:pPr>
        <w:rPr>
          <w:lang w:val="en-GB"/>
        </w:rPr>
      </w:pPr>
      <w:r w:rsidRPr="000C581B">
        <w:rPr>
          <w:lang w:val="en-GB"/>
        </w:rPr>
        <w:t>Hormone Receptor Status:</w:t>
      </w:r>
    </w:p>
    <w:p w14:paraId="1E051A0C" w14:textId="77777777" w:rsidR="00B94605" w:rsidRDefault="00000000">
      <w:r>
        <w:t>ER Status: Negative</w:t>
      </w:r>
    </w:p>
    <w:p w14:paraId="44C50AC9" w14:textId="77777777" w:rsidR="00B94605" w:rsidRDefault="00000000">
      <w:r>
        <w:t>PR Status: Negative</w:t>
      </w:r>
    </w:p>
    <w:p w14:paraId="563BA559" w14:textId="77777777" w:rsidR="00B94605" w:rsidRDefault="00000000">
      <w:r>
        <w:t>HER2 Status: Negative</w:t>
      </w:r>
    </w:p>
    <w:sectPr w:rsidR="00B9460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63633478">
    <w:abstractNumId w:val="2"/>
  </w:num>
  <w:num w:numId="2" w16cid:durableId="320088729">
    <w:abstractNumId w:val="3"/>
  </w:num>
  <w:num w:numId="3" w16cid:durableId="386881970">
    <w:abstractNumId w:val="0"/>
  </w:num>
  <w:num w:numId="4" w16cid:durableId="10240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605"/>
    <w:rsid w:val="00AE56B0"/>
    <w:rsid w:val="00B0337F"/>
    <w:rsid w:val="00B9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FE49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2025-01-22T10:30:00Z</dcterms:modified>
  <cp:category/>
</cp:coreProperties>
</file>