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Patient diagnosed with breast cancer at age 32.</w:t>
      </w:r>
    </w:p>
    <w:p>
      <w:r>
        <w:t>Diagnosis: Invasive ductal carcinoma, grade 3; Ductal carcinoma in situ (DCIS), high grade with comedo necrosis.</w:t>
      </w:r>
    </w:p>
    <w:p>
      <w:r>
        <w:t>Receptor Status:</w:t>
      </w:r>
    </w:p>
    <w:p>
      <w:pPr>
        <w:pStyle w:val="ListBullet"/>
      </w:pPr>
      <w:r>
        <w:t xml:space="preserve">    Estrogen Receptors: Positive</w:t>
      </w:r>
    </w:p>
    <w:p>
      <w:pPr>
        <w:pStyle w:val="ListBullet"/>
      </w:pPr>
      <w:r>
        <w:t xml:space="preserve">    Progesterone Receptors: Positive</w:t>
      </w:r>
    </w:p>
    <w:p>
      <w:pPr>
        <w:pStyle w:val="ListBullet"/>
      </w:pPr>
      <w:r>
        <w:t xml:space="preserve">    HER2: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The patient, diagnosed with breast cancer at age 32.</w:t>
      </w:r>
    </w:p>
    <w:p>
      <w:pPr>
        <w:pStyle w:val="ListBullet"/>
      </w:pPr>
      <w:r>
        <w:t xml:space="preserve">    Generation IV: </w:t>
      </w:r>
    </w:p>
    <w:p>
      <w:r>
        <w:t>Textual Analysis:</w:t>
      </w:r>
    </w:p>
    <w:p>
      <w:pPr>
        <w:pStyle w:val="Heading1"/>
      </w:pPr>
      <w:r>
        <w:t>NCCN Testing Criteria Assessment</w:t>
      </w:r>
    </w:p>
    <w:p>
      <w:r>
        <w:t>Criteria: Personal history of breast cancer with age ≤50 years: Met, as the patient was diagnosed at age 32., Triple-negative breast cancer: Not met, as the patient is ER-positive and PR-positive.</w:t>
      </w:r>
    </w:p>
    <w:p>
      <w:pPr>
        <w:pStyle w:val="Heading1"/>
      </w:pPr>
      <w:r>
        <w:t>Conclusion</w:t>
      </w:r>
    </w:p>
    <w:p>
      <w:r>
        <w:t>The patient is eligible for NCCN testing criteria due to the diagnosis of breast cancer at age 32, well below the age of 50.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