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10</w:t>
      </w:r>
    </w:p>
    <w:p>
      <w:r>
        <w:t>Age of Diagnosis: 40</w:t>
      </w:r>
    </w:p>
    <w:p>
      <w:r>
        <w:t>Diagnosis: Invasive breast carcinoma of no special type, grade 3. Intermediate grade ductal carcinoma in situ (DCIS) with a solid pattern.</w:t>
      </w:r>
    </w:p>
    <w:p>
      <w:r>
        <w:t>Hormone 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Maternal Aunt: Ovarian cancer at age 50.</w:t>
      </w:r>
    </w:p>
    <w:p>
      <w:pPr>
        <w:pStyle w:val="ListBullet"/>
      </w:pPr>
      <w:r>
        <w:t xml:space="preserve">    Generation II: </w:t>
      </w:r>
    </w:p>
    <w:p>
      <w:pPr>
        <w:pStyle w:val="ListBullet"/>
      </w:pPr>
      <w:r>
        <w:t xml:space="preserve">    Generation III: Patient: Breast cancer diagnosed at age 40.</w:t>
      </w:r>
    </w:p>
    <w:p>
      <w:r>
        <w:t>Textual Analysis: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years., Close blood relative (maternal aunt) with ovarian cancer.</w:t>
      </w:r>
    </w:p>
    <w:p>
      <w:pPr>
        <w:pStyle w:val="Heading1"/>
      </w:pPr>
      <w:r>
        <w:t>Conclusion</w:t>
      </w:r>
    </w:p>
    <w:p>
      <w:r>
        <w:t>The patient is eligible for NCCN testing criteria. The diagnosis of breast cancer at age 40 and a maternal aunt with ovarian cancer at age 50 meet the guidelines for testing for high-penetrance breast cancer susceptibility genes, including BRCA1 and BRCA2.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