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12</w:t>
      </w:r>
    </w:p>
    <w:p>
      <w:r>
        <w:t>Age of Diagnosis: 38</w:t>
      </w:r>
    </w:p>
    <w:p>
      <w:r>
        <w:t>Diagnosis: Invasive breast carcinoma of no special type, grade 1.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Parents</w:t>
      </w:r>
    </w:p>
    <w:p>
      <w:pPr>
        <w:pStyle w:val="ListBullet"/>
      </w:pPr>
      <w:r>
        <w:t xml:space="preserve">    Generation III: Patient: Case 12, Breast cancer diagnosed at 38, ER-negative, PR-positive, HER2-negative., Brother: Metastatic prostate cancer diagnosed at age 45.</w:t>
      </w:r>
    </w:p>
    <w:p>
      <w:pPr>
        <w:pStyle w:val="ListBullet"/>
      </w:pPr>
      <w:r>
        <w:t xml:space="preserve">    Generation IV: Children, Nieces, Nephews</w:t>
      </w:r>
    </w:p>
    <w:p>
      <w:r>
        <w:t>Description:</w:t>
      </w:r>
    </w:p>
    <w:p>
      <w:pPr>
        <w:pStyle w:val="Heading1"/>
      </w:pPr>
      <w:r>
        <w:t>NCCN Testing Criteria Assessment</w:t>
      </w:r>
    </w:p>
    <w:p>
      <w:r>
        <w:t>Criteria: Personal history of breast cancer diagnosed at age ≤50 years: Met, diagnosed at age 38., Family history of prostate cancer with metastatic condition: Met, brother diagnosed with metastatic prostate cancer at age 45.</w:t>
      </w:r>
    </w:p>
    <w:p>
      <w:pPr>
        <w:pStyle w:val="Heading1"/>
      </w:pPr>
      <w:r>
        <w:t>Conclusion</w:t>
      </w:r>
    </w:p>
    <w:p>
      <w:r>
        <w:t>The patient meets the NCCN testing criteria due to her personal history of breast cancer diagnosed at an age ≤50 (38 years) and a family history of metastatic prostate cancer in her brother. Genetic testing for high-penetrance breast cancer susceptibility genes, including BRCA1 and BRCA2, is recommended based on this history. Further familial genetic counseling and testing may be advised.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