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13</w:t>
      </w:r>
    </w:p>
    <w:p>
      <w:r>
        <w:t>Age of Diagnosis: 29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Negative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II: Patient: Female diagnosed with breast cancer at age 29. ER-positive, PR-negative, HER2-negative., Sister: Diagnosed with triple-negative breast cancer at age 34.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The patient was diagnosed at age 29, which meets this criterion., Family history: Sister diagnosed with triple-negative breast cancer at age 34, which meets the criterion of having a close blood relative with breast cancer at age ≤ 50.</w:t>
      </w:r>
    </w:p>
    <w:p>
      <w:pPr>
        <w:pStyle w:val="Heading1"/>
      </w:pPr>
      <w:r>
        <w:t>Conclusion</w:t>
      </w:r>
    </w:p>
    <w:p>
      <w:r>
        <w:t>The patient is eligible for NCCN testing.</w:t>
      </w:r>
    </w:p>
    <w:p>
      <w:r>
        <w:t>The patient meets multiple criteria for NCCN testing, including a personal history of breast cancer diagnosed at a young age (29 years) and a family history of early-onset breast cancer in a sibling. These factors warrant genetic testing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