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case of breast cancer for review.</w:t>
      </w:r>
    </w:p>
    <w:p>
      <w:r>
        <w:t>Age at Diagnosis: 29</w:t>
      </w:r>
    </w:p>
    <w:p>
      <w:r>
        <w:t>Diagnosis: Invasive breast carcinoma of no special type, grade 2 and intermediate grade ductal carcinoma in situ (DCIS) with a solid pattern.</w:t>
      </w:r>
    </w:p>
    <w:p>
      <w:r>
        <w:t>Hormone Receptor Status:</w:t>
      </w:r>
    </w:p>
    <w:p>
      <w:pPr>
        <w:pStyle w:val="ListBullet"/>
      </w:pPr>
      <w:r>
        <w:t xml:space="preserve">    Estrogen Receptors (ER): Positive</w:t>
      </w:r>
    </w:p>
    <w:p>
      <w:pPr>
        <w:pStyle w:val="ListBullet"/>
      </w:pPr>
      <w:r>
        <w:t xml:space="preserve">    Progesterone Receptors (PR): Negative</w:t>
      </w:r>
    </w:p>
    <w:p>
      <w:pPr>
        <w:pStyle w:val="ListBullet"/>
      </w:pPr>
      <w:r>
        <w:t xml:space="preserve">    HER2: Negative</w:t>
      </w:r>
    </w:p>
    <w:p>
      <w:r>
        <w:t>Note: Standard hormone-based treatment may be considered due to ER-positive status.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II: The patient diagnosed with breast cancer at age 29., Sister diagnosed with triple-negative breast cancer at age 34.</w:t>
      </w:r>
    </w:p>
    <w:p>
      <w:pPr>
        <w:pStyle w:val="Heading1"/>
      </w:pPr>
      <w:r>
        <w:t>NCCN Testing Criteria Assessment</w:t>
      </w:r>
    </w:p>
    <w:p>
      <w:r>
        <w:t>Criteria Met: Personal history of breast cancer with age ≤50 y: The patient was diagnosed at age 29., Family history of triple-negative breast cancer: Sister diagnosed at age 34.</w:t>
      </w:r>
    </w:p>
    <w:p>
      <w:pPr>
        <w:pStyle w:val="Heading1"/>
      </w:pPr>
      <w:r>
        <w:t>Conclusion</w:t>
      </w:r>
    </w:p>
    <w:p>
      <w:r>
        <w:t>The patient meets the NCCN testing criteria due to a diagnosis of breast cancer at age 29 and a family history of triple-negative breast cancer in a sister diagnosed at age 34. Genetic testing for high-penetrance breast cancer susceptibility genes, such as BRCA1 and BRCA2, is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