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15</w:t>
      </w:r>
    </w:p>
    <w:p>
      <w:r>
        <w:t>Age of Diagnosis: 46</w:t>
      </w:r>
    </w:p>
    <w:p>
      <w:r>
        <w:t>Diagnosis:</w:t>
      </w:r>
    </w:p>
    <w:p>
      <w:pPr>
        <w:pStyle w:val="ListBullet"/>
      </w:pPr>
      <w:r>
        <w:t xml:space="preserve">    Primary Diagnosis: Invasive breast carcinoma of no special type, grade 1</w:t>
      </w:r>
    </w:p>
    <w:p>
      <w:pPr>
        <w:pStyle w:val="ListBullet"/>
      </w:pPr>
      <w:r>
        <w:t xml:space="preserve">    Secondary Diagnosis: Intermediate grade ductal carcinoma in situ (DCIS) with a solid pattern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Father, pancreatic cancer at age 50, Paternal uncle, pancreatic cancer at age 50</w:t>
      </w:r>
    </w:p>
    <w:p>
      <w:pPr>
        <w:pStyle w:val="ListBullet"/>
      </w:pPr>
      <w:r>
        <w:t xml:space="preserve">    Generation II: Patient, breast cancer at age 46</w:t>
      </w:r>
    </w:p>
    <w:p>
      <w:r>
        <w:t>Image Description: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years: Patient was diagnosed at 46., Any age with ≥ 1 close blood relative with pancreatic cancer: Father and paternal uncle both had pancreatic cancer.</w:t>
      </w:r>
    </w:p>
    <w:p>
      <w:pPr>
        <w:pStyle w:val="Heading1"/>
      </w:pPr>
      <w:r>
        <w:t>Conclusion</w:t>
      </w:r>
    </w:p>
    <w:p>
      <w:r>
        <w:t>The patient is eligible for NCCN testing.</w:t>
      </w:r>
    </w:p>
    <w:p>
      <w:r>
        <w:t>The patient meets multiple NCCN criteria for genetic testing, including having breast cancer diagnosed at or before age 50 and having close relatives with pancreatic cancer. Testing for high-penetrance breast cancer susceptibility genes such as BRCA1, BRCA2, and others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