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16</w:t>
      </w:r>
    </w:p>
    <w:p>
      <w:r>
        <w:t>Age of Diagnosis: 28</w:t>
      </w:r>
    </w:p>
    <w:p>
      <w:r>
        <w:t>Diagnosis: Invasive breast carcinoma of no special type, grade 2 and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II: The patient's mother had breast cancer diagnosed at age 48.</w:t>
      </w:r>
    </w:p>
    <w:p>
      <w:pPr>
        <w:pStyle w:val="ListBullet"/>
      </w:pPr>
      <w:r>
        <w:t xml:space="preserve">    Generation III: The patient, a female, diagnosed with breast cancer at age 28.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y., Any age with Triple-negative breast cancer., Any age with ≥ 1 close blood relative with breast cancer at age ≤50.</w:t>
      </w:r>
    </w:p>
    <w:p>
      <w:pPr>
        <w:pStyle w:val="Heading1"/>
      </w:pPr>
      <w:r>
        <w:t>Conclusion</w:t>
      </w:r>
    </w:p>
    <w:p>
      <w:r>
        <w:t>The patient meets the NCCN testing criteria due to a personal history of breast cancer diagnosed at age 28, which is under 50 years, and triple-negative breast cancer status. Additionally, the presence of breast cancer in the patient's mother at age 48 contributes to the criteria. Therefore, the patient is eligible for testing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