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Case number 16 of invasive breast carcinoma.</w:t>
      </w:r>
    </w:p>
    <w:p>
      <w:r>
        <w:t>Age of Diagnosis: 28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Receptors: Negative</w:t>
      </w:r>
    </w:p>
    <w:p>
      <w:pPr>
        <w:pStyle w:val="ListBullet"/>
      </w:pPr>
      <w:r>
        <w:t xml:space="preserve">    Progesterone Receptors: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Uncles</w:t>
      </w:r>
    </w:p>
    <w:p>
      <w:pPr>
        <w:pStyle w:val="ListBullet"/>
      </w:pPr>
      <w:r>
        <w:t xml:space="preserve">    Generation II: Mother diagnosed with breast cancer at age 48.</w:t>
      </w:r>
    </w:p>
    <w:p>
      <w:pPr>
        <w:pStyle w:val="ListBullet"/>
      </w:pPr>
      <w:r>
        <w:t xml:space="preserve">    Generation III: The patient, diagnosed with breast cancer at age 28.</w:t>
      </w:r>
    </w:p>
    <w:p>
      <w:pPr>
        <w:pStyle w:val="ListBullet"/>
      </w:pPr>
      <w:r>
        <w:t xml:space="preserve">    Generation IV: Children, Nieces, Nephews</w:t>
      </w:r>
    </w:p>
    <w:p>
      <w:r>
        <w:t>Notes: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≤50 years: The patient was diagnosed at age 28., Triple-negative breast cancer: The patient has ER-negative, PR-negative, and HER2-negative status., Family history of breast cancer: The patient's mother was diagnosed with breast cancer at age 48.</w:t>
      </w:r>
    </w:p>
    <w:p>
      <w:pPr>
        <w:pStyle w:val="Heading1"/>
      </w:pPr>
      <w:r>
        <w:t>Conclusion</w:t>
      </w:r>
    </w:p>
    <w:p>
      <w:r>
        <w:t>The patient meets multiple NCCN testing criteria, including early-onset breast cancer, triple-negative breast cancer, and a family history of breast cancer. Given this information, the patient is eligible for genetic testing for high-penetrance breast cancer susceptibility genes such as BRCA1 and BRCA2. It is recommended to proceed with the testing to assess hereditary cancer risk and inform management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