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high-grade invasive ductal carcinoma, for review.</w:t>
      </w:r>
    </w:p>
    <w:p>
      <w:r>
        <w:t>Case Number: 18</w:t>
      </w:r>
    </w:p>
    <w:p>
      <w:r>
        <w:t>Age of Diagnosis: 75</w:t>
      </w:r>
    </w:p>
    <w:p>
      <w:r>
        <w:t>Diagnosis: Invasive ductal carcinoma, grade 3 with high-grade DCIS and comedo necrosis.</w:t>
      </w:r>
    </w:p>
    <w:p>
      <w:r>
        <w:t>Hormone 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GPs, Great Aunts, Great Uncle</w:t>
      </w:r>
    </w:p>
    <w:p>
      <w:pPr>
        <w:pStyle w:val="ListBullet"/>
      </w:pPr>
      <w:r>
        <w:t xml:space="preserve">    Generation II: Parents, Aunts, Uncles</w:t>
      </w:r>
    </w:p>
    <w:p>
      <w:pPr>
        <w:pStyle w:val="ListBullet"/>
      </w:pPr>
      <w:r>
        <w:t xml:space="preserve">    Generation III: Affected patient with breast cancer at age 75.</w:t>
      </w:r>
    </w:p>
    <w:p>
      <w:pPr>
        <w:pStyle w:val="ListBullet"/>
      </w:pPr>
      <w:r>
        <w:t xml:space="preserve">    Generation IV: Children, Nieces, Nephews</w:t>
      </w:r>
    </w:p>
    <w:p>
      <w:r>
        <w:t>Family History:</w:t>
      </w:r>
    </w:p>
    <w:p>
      <w:pPr>
        <w:pStyle w:val="Heading1"/>
      </w:pPr>
      <w:r>
        <w:t>NCCN Testing Criteria Assessment</w:t>
      </w:r>
    </w:p>
    <w:p>
      <w:r>
        <w:t>Criteria: Any age with Triple-negative breast cancer: Not met, as the patient has HER2 positive status., Any age with ≥ 1 close blood relative with breast cancer at age ≤50: Not met, as there is no family history documented., Other family history criteria: Not met, as no relevant family history is noted.</w:t>
      </w:r>
    </w:p>
    <w:p>
      <w:pPr>
        <w:pStyle w:val="Heading1"/>
      </w:pPr>
      <w:r>
        <w:t>Conclusion</w:t>
      </w:r>
    </w:p>
    <w:p>
      <w:r>
        <w:t>The patient does not meet the NCCN testing criteria for high-penetrance breast cancer susceptibility genes based on the current information. The lack of triple-negative status and absence of relevant family history do not support eligibility for genetic testing under the provided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