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Breast tissue biopsy.</w:t>
      </w:r>
    </w:p>
    <w:p>
      <w:r>
        <w:t>Diagnosis: Invasive ductal carcinoma, grade 3 with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Grandfather: Metastatic Prostate Cancer</w:t>
      </w:r>
    </w:p>
    <w:p>
      <w:pPr>
        <w:pStyle w:val="ListBullet"/>
      </w:pPr>
      <w:r>
        <w:t xml:space="preserve">    Generation II: Father</w:t>
      </w:r>
    </w:p>
    <w:p>
      <w:pPr>
        <w:pStyle w:val="ListBullet"/>
      </w:pPr>
      <w:r>
        <w:t xml:space="preserve">    Generation III: Patient: Diagnosed with invasive ductal carcinoma at age 50, ER-positive, PR-negative, HER2-negative.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≤50 years: The patient was diagnosed at age 50, meeting this criterion., Family history of metastatic prostate cancer: The presence of metastatic prostate cancer in the patient's paternal grandfather supports consideration for testing.</w:t>
      </w:r>
    </w:p>
    <w:p>
      <w:pPr>
        <w:pStyle w:val="Heading1"/>
      </w:pPr>
      <w:r>
        <w:t>Conclusion</w:t>
      </w:r>
    </w:p>
    <w:p>
      <w:r>
        <w:t>The patient meets the NCCN criteria for genetic testing consideration, given the diagnosis of breast cancer at age 50 and a family history of metastatic prostate cancer. Testing for high-penetrance breast cancer susceptibility genes, including BRCA1, BRCA2, and others, is recommended. The familial link to prostate cancer further supports this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