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19</w:t>
      </w:r>
    </w:p>
    <w:p>
      <w:r>
        <w:t>Age of Diagnosis: 50</w:t>
      </w:r>
    </w:p>
    <w:p>
      <w:r>
        <w:t>Diagnosis:</w:t>
      </w:r>
    </w:p>
    <w:p>
      <w:pPr>
        <w:pStyle w:val="ListBullet"/>
      </w:pPr>
      <w:r>
        <w:t xml:space="preserve">    Invasive Ductal Carcinoma: Grade 3, High-grade</w:t>
      </w:r>
    </w:p>
    <w:p>
      <w:pPr>
        <w:pStyle w:val="ListBullet"/>
      </w:pPr>
      <w:r>
        <w:t xml:space="preserve">    Ductal Carcinoma In Situ: High-grade with comedo necrosis</w:t>
      </w:r>
    </w:p>
    <w:p>
      <w:r>
        <w:t>Receptor Status:</w:t>
      </w:r>
    </w:p>
    <w:p>
      <w:pPr>
        <w:pStyle w:val="ListBullet"/>
      </w:pPr>
      <w:r>
        <w:t xml:space="preserve">    Estrogen Receptors (ER): Positive</w:t>
      </w:r>
    </w:p>
    <w:p>
      <w:pPr>
        <w:pStyle w:val="ListBullet"/>
      </w:pPr>
      <w:r>
        <w:t xml:space="preserve">    Progesterone Receptors (PR): Negative</w:t>
      </w:r>
    </w:p>
    <w:p>
      <w:pPr>
        <w:pStyle w:val="ListBullet"/>
      </w:pPr>
      <w:r>
        <w:t xml:space="preserve">    HER2: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Grandfather: Prostate cancer, metastatic</w:t>
      </w:r>
    </w:p>
    <w:p>
      <w:pPr>
        <w:pStyle w:val="ListBullet"/>
      </w:pPr>
      <w:r>
        <w:t xml:space="preserve">    Generation II: Father: Alive/Unknown conditions, Mother: Alive/Unknown conditions</w:t>
      </w:r>
    </w:p>
    <w:p>
      <w:pPr>
        <w:pStyle w:val="ListBullet"/>
      </w:pPr>
      <w:r>
        <w:t xml:space="preserve">    Generation III: Patient: Breast cancer diagnosed at age 50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≤50, ≥ 1 close blood relative with metastatic prostate cancer (paternal grandfather)</w:t>
      </w:r>
    </w:p>
    <w:p>
      <w:pPr>
        <w:pStyle w:val="Heading1"/>
      </w:pPr>
      <w:r>
        <w:t>Conclusion</w:t>
      </w:r>
    </w:p>
    <w:p>
      <w:r>
        <w:t>The patient meets the NCCN testing criteria for high-penetrance breast cancer susceptibility genes due to a personal history of breast cancer diagnosed at age 50 and a family history of metastatic prostate cancer in a close blood relative (paternal grandfather). Genetic testing for BRCA1, BRCA2, and other applicable genes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