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</w:t>
      </w:r>
    </w:p>
    <w:p>
      <w:r>
        <w:t>Age of Diagnosis: 28</w:t>
      </w:r>
    </w:p>
    <w:p>
      <w:r>
        <w:t>Diagnosis:</w:t>
      </w:r>
    </w:p>
    <w:p>
      <w:pPr>
        <w:pStyle w:val="ListBullet"/>
      </w:pPr>
      <w:r>
        <w:t xml:space="preserve">    Invasive Ductal Carcinoma: High-grade invasive ductal carcinoma, grade 3.</w:t>
      </w:r>
    </w:p>
    <w:p>
      <w:pPr>
        <w:pStyle w:val="ListBullet"/>
      </w:pPr>
      <w:r>
        <w:t xml:space="preserve">    Ductal Carcinoma in Situ (DCIS): High grade with comedo necrosis.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The patient, a female, diagnosed with invasive ductal carcinoma at age 28., Patient's sister diagnosed with ovarian cancer at age 38.</w:t>
      </w:r>
    </w:p>
    <w:p>
      <w:pPr>
        <w:pStyle w:val="ListBullet"/>
      </w:pPr>
      <w:r>
        <w:t xml:space="preserve">    Generation IV: 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years., Any age with ≥ 1 close blood relative with ovarian cancer.</w:t>
      </w:r>
    </w:p>
    <w:p>
      <w:pPr>
        <w:pStyle w:val="Heading1"/>
      </w:pPr>
      <w:r>
        <w:t>Conclusion</w:t>
      </w:r>
    </w:p>
    <w:p>
      <w:r>
        <w:t>The patient is eligible for NCCN criteria testing.</w:t>
      </w:r>
    </w:p>
    <w:p>
      <w:r>
        <w:t>Due to the patient's diagnosis of breast cancer at a young age (28) and a family history of a sister with ovarian cancer, she qualifies for genetic testing according to the NCCN guidelines. Recommended testing for high-penetrance breast cancer susceptibility genes includes BRCA1 and BRCA2, among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