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invasive ductal carcinoma, grade 3.</w:t>
      </w:r>
    </w:p>
    <w:p>
      <w:r>
        <w:t>Specimen: Not specified.</w:t>
      </w:r>
    </w:p>
    <w:p>
      <w:r>
        <w:t>Diagnosis: Invasive ductal carcinoma, grade 3;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Patient: Female, diagnosed with breast cancer at age 28, ER-positive, PR-positive, HER2-positive., Sister: Diagnosed with ovarian cancer at age 38.</w:t>
      </w:r>
    </w:p>
    <w:p>
      <w:pPr>
        <w:pStyle w:val="ListBullet"/>
      </w:pPr>
      <w:r>
        <w:t xml:space="preserve">    Generation IV: Children, Nieces, Nephews</w:t>
      </w:r>
    </w:p>
    <w:p>
      <w:r>
        <w:t>Image Link: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The patient was diagnosed at age 28., Close blood relative (sister) with ovarian cancer.</w:t>
      </w:r>
    </w:p>
    <w:p>
      <w:pPr>
        <w:pStyle w:val="Heading1"/>
      </w:pPr>
      <w:r>
        <w:t>Conclusion</w:t>
      </w:r>
    </w:p>
    <w:p>
      <w:r>
        <w:t>The patient is eligible for NCCN testing criteria based on her diagnosis of breast cancer at age 28 and a sister's history of ovarian cancer. Genetic testing for high-penetrance breast cancer susceptibility genes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