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20</w:t>
      </w:r>
    </w:p>
    <w:p>
      <w:r>
        <w:t>Age of Diagnosis: 67</w:t>
      </w:r>
    </w:p>
    <w:p>
      <w:r>
        <w:t>Family History: No family history</w:t>
      </w:r>
    </w:p>
    <w:p>
      <w:r>
        <w:t>Diagnosis:</w:t>
      </w:r>
    </w:p>
    <w:p>
      <w:pPr>
        <w:pStyle w:val="ListBullet"/>
      </w:pPr>
      <w:r>
        <w:t xml:space="preserve">    Type: Invasive ductal carcinoma</w:t>
      </w:r>
    </w:p>
    <w:p>
      <w:pPr>
        <w:pStyle w:val="ListBullet"/>
      </w:pPr>
      <w:r>
        <w:t xml:space="preserve">    Grade: 3</w:t>
      </w:r>
    </w:p>
    <w:p>
      <w:pPr>
        <w:pStyle w:val="ListBullet"/>
      </w:pPr>
      <w:r>
        <w:t xml:space="preserve">    In Situ Carcinoma: Ductal carcinoma in situ (DCIS), high grade with comedo necrosis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II: Patient diagnosed at age 67 with invasive ductal carcinoma, ER-negative, PR-negative, HER2-positive., No noted family history of breast or other related cancers.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Any age with Triple-negative breast cancer (because ER and PR are negative)</w:t>
      </w:r>
    </w:p>
    <w:p>
      <w:r>
        <w:t>Criteria Not Met: Personal history of breast cancer with age ≤50 y, Multiple primary breast cancers, Lobular breast cancer with family history, Male breast cancer, Ashkenazi Jewish ancestry, Close family members with associated cancers</w:t>
      </w:r>
    </w:p>
    <w:p>
      <w:pPr>
        <w:pStyle w:val="Heading1"/>
      </w:pPr>
      <w:r>
        <w:t>Conclusion</w:t>
      </w:r>
    </w:p>
    <w:p>
      <w:r>
        <w:t>The patient meets the NCCN criteria for testing due to the diagnosis of triple-negative breast cancer. No family history or other significant risk factors noted.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