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21</w:t>
      </w:r>
    </w:p>
    <w:p>
      <w:r>
        <w:t>Age of Diagnosis: 33</w:t>
      </w:r>
    </w:p>
    <w:p>
      <w:r>
        <w:t>Diagnosis: Invasive ductal carcinoma, grade 3; Ductal carcinoma in situ (DCIS), high grade with comedo necrosis.</w:t>
      </w:r>
    </w:p>
    <w:p>
      <w:r>
        <w:t>Receptor Status:</w:t>
      </w:r>
    </w:p>
    <w:p>
      <w:pPr>
        <w:pStyle w:val="ListBullet"/>
      </w:pPr>
      <w:r>
        <w:t xml:space="preserve">    Estrogen Receptor (ER): Positive</w:t>
      </w:r>
    </w:p>
    <w:p>
      <w:pPr>
        <w:pStyle w:val="ListBullet"/>
      </w:pPr>
      <w:r>
        <w:t xml:space="preserve">    Progesterone Receptor (PR): Positive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GPs, Great Aunts, Great Uncle</w:t>
      </w:r>
    </w:p>
    <w:p>
      <w:pPr>
        <w:pStyle w:val="ListBullet"/>
      </w:pPr>
      <w:r>
        <w:t xml:space="preserve">    Generation II: Mother diagnosed with breast cancer at age ≤50, Maternal aunt diagnosed with breast cancer at age ≤50</w:t>
      </w:r>
    </w:p>
    <w:p>
      <w:pPr>
        <w:pStyle w:val="ListBullet"/>
      </w:pPr>
      <w:r>
        <w:t xml:space="preserve">    Generation III: Patient diagnosed with breast cancer at age 33</w:t>
      </w:r>
    </w:p>
    <w:p>
      <w:r>
        <w:t>Visual Representation:</w:t>
      </w:r>
    </w:p>
    <w:p>
      <w:pPr>
        <w:pStyle w:val="Heading1"/>
      </w:pPr>
      <w:r>
        <w:t>NCCN Testing Criteria Assessment</w:t>
      </w:r>
    </w:p>
    <w:p>
      <w:r>
        <w:t>Criteria Met: Personal history of breast cancer at age ≤ 50 years: Patient diagnosed at 33., Family history of breast cancer: Mother and maternal aunt diagnosed at age ≤ 50.</w:t>
      </w:r>
    </w:p>
    <w:p>
      <w:pPr>
        <w:pStyle w:val="Heading1"/>
      </w:pPr>
      <w:r>
        <w:t>Conclusion</w:t>
      </w:r>
    </w:p>
    <w:p>
      <w:r>
        <w:t>The patient is eligible for NCCN testing based on meeting multiple criteria, including personal history with early-onset breast cancer and significant family history. Testing for high-penetrance breast cancer susceptibility genes is advised.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