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21</w:t>
      </w:r>
    </w:p>
    <w:p>
      <w:r>
        <w:t>Age of Diagnosis: 33</w:t>
      </w:r>
    </w:p>
    <w:p>
      <w:r>
        <w:t>Diagnosis:</w:t>
      </w:r>
    </w:p>
    <w:p>
      <w:pPr>
        <w:pStyle w:val="ListBullet"/>
      </w:pPr>
      <w:r>
        <w:t xml:space="preserve">    Invasive Ductal Carcinoma: Grade 3, high-grade invasive ductal carcinoma</w:t>
      </w:r>
    </w:p>
    <w:p>
      <w:pPr>
        <w:pStyle w:val="ListBullet"/>
      </w:pPr>
      <w:r>
        <w:t xml:space="preserve">    Ductal Carcinoma In Situ (DCIS): High grade with comedo necrosis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The patient's mother diagnosed with breast cancer at age ≤50, The patient's maternal aunt diagnosed with breast cancer at age ≤50</w:t>
      </w:r>
    </w:p>
    <w:p>
      <w:pPr>
        <w:pStyle w:val="ListBullet"/>
      </w:pPr>
      <w:r>
        <w:t xml:space="preserve">    Generation III: The patient, female, diagnosed with invasive ductal carcinoma at age 33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years, Family history: Mother diagnosed with breast cancer ≤50, Family history: Maternal aunt diagnosed with breast cancer ≤50</w:t>
      </w:r>
    </w:p>
    <w:p>
      <w:pPr>
        <w:pStyle w:val="Heading1"/>
      </w:pPr>
      <w:r>
        <w:t>Conclusion</w:t>
      </w:r>
    </w:p>
    <w:p>
      <w:r>
        <w:t>The patient is eligible for NCCN testing criteria.</w:t>
      </w:r>
    </w:p>
    <w:p>
      <w:r>
        <w:t>The patient meets multiple criteria: diagnosed with breast cancer at age 33, and has a family history of breast cancer with both mother and maternal aunt diagnosed at or before age 50. Recommend genetic testing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